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ВЛИЯНИЕ ЭКОНОМИЧЕСКОЙ СИСТЕМЫ НА ИННОВАЦИОННУЮ ДЕЯТЕЛЬНОСТЬ В УСЛОВИЯХ РЫНКА </w:t>
      </w: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М.П. </w:t>
      </w:r>
      <w:proofErr w:type="spellStart"/>
      <w:r w:rsidRPr="0005073B">
        <w:rPr>
          <w:rFonts w:ascii="Times New Roman" w:eastAsia="Times New Roman" w:hAnsi="Times New Roman" w:cs="Times New Roman"/>
          <w:b/>
          <w:bCs/>
          <w:sz w:val="24"/>
          <w:szCs w:val="24"/>
          <w:lang w:eastAsia="ru-RU"/>
        </w:rPr>
        <w:t>Посталюк</w:t>
      </w:r>
      <w:proofErr w:type="spellEnd"/>
      <w:r w:rsidRPr="0005073B">
        <w:rPr>
          <w:rFonts w:ascii="Times New Roman" w:eastAsia="Times New Roman" w:hAnsi="Times New Roman" w:cs="Times New Roman"/>
          <w:b/>
          <w:bCs/>
          <w:sz w:val="24"/>
          <w:szCs w:val="24"/>
          <w:lang w:eastAsia="ru-RU"/>
        </w:rPr>
        <w:t>, к.э.н., ТИСБИ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Особенности инновационной деятельности, ее роль в экономической системе опосредуются факторами, которые оказывают влияние на саму инновационную деятельность, способствуя ее развитию как одного из главных средств экономического прогресса.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качестве факторов воздействия на активность инновационной деятельности в наиболее укрупненном виде можно выделить внешние и внутренние факторы. Объективную природу имеют те факторы внешней среды, действие которых обусловлено долговременными тенденциями и не может быть связано с единовременными волевыми решениями конкретного субъекта. Субъективная природа характерна, напротив, для таких составляющих внешней среды, действие которых является прямым следствием сознательно принятого решения в отношении данной экономической системы.</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Необходимо отметить, что в инновационной экономике действие этих факторов осуществляется в совокупности. Стимулирующие побудительные мотивы - объективные и субъективные - координируются, соподчиняются, взаимопроникают и образуют систему мотивации для осуществления инновационной деятельности, формируя инновационную стратегию на конкретном этапе развития.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Множественность социально-экономических отношений, связывающих современные инновационные структуры с различными контрагентами в виде потребителей, посредников, конкурентов, финансовых институтов, государственных служб и т.д., делает эти структуры полноправными субъектами рыночных отношений. Данное обстоятельство заставляет их действовать в соответствии с объективными законами рынка, специфика проявления которых обусловливается соотношением рыночных методов регулирования экономики и степенью государственного воздействия в конкретной экономической системе. Однако, независимо от силы воздействия рыночных механизмов, сущность их влияния на поведение экономической системы закономерна для всех обществ, базирующихся на единых принципах организации хозяйства: многообразии форм собственности и экономических интересов, конкуренции, свободе предпринимательства, государственной форме регулирования и т.д. В этой связи представляется логичным начать рассмотрение системы побудительных мотивов инновационной активности с анализа воздействия на инновационную деятельность объективных законов развития рыночных отношений.</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Периодичность появления кластеров нововведений, преобладание той или иной группы инноваций в разные периоды времени (радикальных и просто улучшающих, </w:t>
      </w:r>
      <w:r w:rsidRPr="0005073B">
        <w:rPr>
          <w:rFonts w:ascii="Times New Roman" w:eastAsia="Times New Roman" w:hAnsi="Times New Roman" w:cs="Times New Roman"/>
          <w:sz w:val="24"/>
          <w:szCs w:val="24"/>
          <w:lang w:eastAsia="ru-RU"/>
        </w:rPr>
        <w:lastRenderedPageBreak/>
        <w:t>технологических, управленческих) позволяет предположить взаимосвязи между специфическим действием объективных экономических законов в разные периоды развития экономики и инновационной активностью, на которую оказывают влияние объективные факторы. На наш взгляд, к числу экономических законов, активно воздействующих на инновационную деятельность, следует отнести:</w:t>
      </w:r>
    </w:p>
    <w:p w:rsidR="0005073B" w:rsidRPr="0005073B" w:rsidRDefault="0005073B" w:rsidP="0005073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 закон получения и присвоения прибыли, который можно назвать еще законом движения рыночной экономики, поскольку прибыль является движущей силой производства; </w:t>
      </w:r>
    </w:p>
    <w:p w:rsidR="0005073B" w:rsidRPr="0005073B" w:rsidRDefault="0005073B" w:rsidP="0005073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закон стоимости, регулирующий развитие экономики и определяющий необходимость взаимовыгодного обмена во всех видах сделок; - законы спроса и предложения, определяющие экономический механизм связи между производством и потреблением;</w:t>
      </w:r>
    </w:p>
    <w:p w:rsidR="0005073B" w:rsidRPr="0005073B" w:rsidRDefault="0005073B" w:rsidP="0005073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закон конкуренции, характеризующий экономический механизм, с помощью которого на конкретном типе рынка реализуются и взаимодействуют объективные экономические законы;</w:t>
      </w:r>
    </w:p>
    <w:p w:rsidR="0005073B" w:rsidRPr="0005073B" w:rsidRDefault="0005073B" w:rsidP="0005073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закономерность циклического развития экономики, определяющая взаимосвязь деловой, в том числе инновационной активности и соответствующей фазы "цикла".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Действие закона стоимости имеет место во всех типах </w:t>
      </w:r>
      <w:proofErr w:type="spellStart"/>
      <w:proofErr w:type="gramStart"/>
      <w:r w:rsidRPr="0005073B">
        <w:rPr>
          <w:rFonts w:ascii="Times New Roman" w:eastAsia="Times New Roman" w:hAnsi="Times New Roman" w:cs="Times New Roman"/>
          <w:sz w:val="24"/>
          <w:szCs w:val="24"/>
          <w:lang w:eastAsia="ru-RU"/>
        </w:rPr>
        <w:t>рын</w:t>
      </w:r>
      <w:proofErr w:type="spellEnd"/>
      <w:r w:rsidRPr="0005073B">
        <w:rPr>
          <w:rFonts w:ascii="Times New Roman" w:eastAsia="Times New Roman" w:hAnsi="Times New Roman" w:cs="Times New Roman"/>
          <w:sz w:val="24"/>
          <w:szCs w:val="24"/>
          <w:lang w:eastAsia="ru-RU"/>
        </w:rPr>
        <w:t>-ков</w:t>
      </w:r>
      <w:proofErr w:type="gramEnd"/>
      <w:r w:rsidRPr="0005073B">
        <w:rPr>
          <w:rFonts w:ascii="Times New Roman" w:eastAsia="Times New Roman" w:hAnsi="Times New Roman" w:cs="Times New Roman"/>
          <w:sz w:val="24"/>
          <w:szCs w:val="24"/>
          <w:lang w:eastAsia="ru-RU"/>
        </w:rPr>
        <w:t xml:space="preserve"> и реализуется как принцип возмещения каждым партнером причиненных потерь или упущенной выгоды другому партнеру </w:t>
      </w:r>
      <w:proofErr w:type="spellStart"/>
      <w:r w:rsidRPr="0005073B">
        <w:rPr>
          <w:rFonts w:ascii="Times New Roman" w:eastAsia="Times New Roman" w:hAnsi="Times New Roman" w:cs="Times New Roman"/>
          <w:sz w:val="24"/>
          <w:szCs w:val="24"/>
          <w:lang w:eastAsia="ru-RU"/>
        </w:rPr>
        <w:t>хозяйствования.Современное</w:t>
      </w:r>
      <w:proofErr w:type="spellEnd"/>
      <w:r w:rsidRPr="0005073B">
        <w:rPr>
          <w:rFonts w:ascii="Times New Roman" w:eastAsia="Times New Roman" w:hAnsi="Times New Roman" w:cs="Times New Roman"/>
          <w:sz w:val="24"/>
          <w:szCs w:val="24"/>
          <w:lang w:eastAsia="ru-RU"/>
        </w:rPr>
        <w:t xml:space="preserve"> толкование закона стоимости определяет его действие как взаимовыгодную основу деятельности участников экономических отношений. Кроме того, необходимо отметить, что указанный закон должен учитывать современные аспекты качества труда с учетом роли информации, управления, научных исследований, новых источников финансирования труда.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условиях современности реализация закона стоимости включает в себя процессы оплаты отрицательного эффекта от инновационной деятельности. С нашей точки зрения, эта сторона действия закона стоимости является очень существенной при разработке инновационной стратегии. В этой связи за отрицательный эффект в случае неудачного инновационного проекта предприниматель также получит эквивалент, цену с обратным знаком: не рынок заплатит за новшество, а предприниматель заплатит рынку своими финансовыми и моральными потерями.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этой связи необходимо подчеркнуть, что закон стоимости непосредственно влияет на выбор инновационной стратегии не только при формулировании цели инновационного процесса, но главное, при определении источников его финансирования. Так, в случае использования заемных источников все отношения между организацией - создателем новшества и организацией, финансирующей проект, строятся на основе взаимной выгоды. В этом - сущность современной контрактной системы. Так, например, все хозяйственные договоры государства по методу расчета с исполнителями делятся на два типа: возмещения издержек производства и фиксированных цен. Поощрения или экономические санкции находятся в зависимости от выполнения условий контракта, технической неопределенности, связанной с его выполнением.</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 одной стороны, государственный контракт представляет собой субъективный внешний фактор воздействия на инновационную деятельность, поскольку является продуманным инструментом государственной политики. В то же время, с другой стороны, контрактная система в странах с рыночной экономикой сама является следствием рыночных отношений, механизмом, в котором реализуется закон стоимости на государственном рынке: где государство выступает в роли заказчика новшества, а </w:t>
      </w:r>
      <w:proofErr w:type="spellStart"/>
      <w:r w:rsidRPr="0005073B">
        <w:rPr>
          <w:rFonts w:ascii="Times New Roman" w:eastAsia="Times New Roman" w:hAnsi="Times New Roman" w:cs="Times New Roman"/>
          <w:sz w:val="24"/>
          <w:szCs w:val="24"/>
          <w:lang w:eastAsia="ru-RU"/>
        </w:rPr>
        <w:t>инноватор</w:t>
      </w:r>
      <w:proofErr w:type="spellEnd"/>
      <w:r w:rsidRPr="0005073B">
        <w:rPr>
          <w:rFonts w:ascii="Times New Roman" w:eastAsia="Times New Roman" w:hAnsi="Times New Roman" w:cs="Times New Roman"/>
          <w:sz w:val="24"/>
          <w:szCs w:val="24"/>
          <w:lang w:eastAsia="ru-RU"/>
        </w:rPr>
        <w:t xml:space="preserve"> - в роли </w:t>
      </w:r>
      <w:proofErr w:type="spellStart"/>
      <w:proofErr w:type="gramStart"/>
      <w:r w:rsidRPr="0005073B">
        <w:rPr>
          <w:rFonts w:ascii="Times New Roman" w:eastAsia="Times New Roman" w:hAnsi="Times New Roman" w:cs="Times New Roman"/>
          <w:sz w:val="24"/>
          <w:szCs w:val="24"/>
          <w:lang w:eastAsia="ru-RU"/>
        </w:rPr>
        <w:t>ис-полнителя</w:t>
      </w:r>
      <w:proofErr w:type="spellEnd"/>
      <w:proofErr w:type="gramEnd"/>
      <w:r w:rsidRPr="0005073B">
        <w:rPr>
          <w:rFonts w:ascii="Times New Roman" w:eastAsia="Times New Roman" w:hAnsi="Times New Roman" w:cs="Times New Roman"/>
          <w:sz w:val="24"/>
          <w:szCs w:val="24"/>
          <w:lang w:eastAsia="ru-RU"/>
        </w:rPr>
        <w:t xml:space="preserve">, отношения между которыми строятся с помощью </w:t>
      </w:r>
      <w:proofErr w:type="spellStart"/>
      <w:r w:rsidRPr="0005073B">
        <w:rPr>
          <w:rFonts w:ascii="Times New Roman" w:eastAsia="Times New Roman" w:hAnsi="Times New Roman" w:cs="Times New Roman"/>
          <w:sz w:val="24"/>
          <w:szCs w:val="24"/>
          <w:lang w:eastAsia="ru-RU"/>
        </w:rPr>
        <w:t>движе-ния</w:t>
      </w:r>
      <w:proofErr w:type="spellEnd"/>
      <w:r w:rsidRPr="0005073B">
        <w:rPr>
          <w:rFonts w:ascii="Times New Roman" w:eastAsia="Times New Roman" w:hAnsi="Times New Roman" w:cs="Times New Roman"/>
          <w:sz w:val="24"/>
          <w:szCs w:val="24"/>
          <w:lang w:eastAsia="ru-RU"/>
        </w:rPr>
        <w:t xml:space="preserve"> денег на принципах взаимной выгоды.</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то же время мотив экономической выгоды ассоциируется с прибылью, получаемой на вложенный капитал. Закон получения и присвоения прибыли является господствующим принципом любого рыночного механизма. Он выступает в данных условиях важнейшим стимулом предпринимательской активности вообще и инновационной, в частности. Капитал, финансовые источники ищут выгодного применения, устремляясь в те сферы экономики, где больше норма прибыли. Наибольшей нормой прибыли обладают отрасли или предприятия, добившиеся монополии на рынке, благодаря которой они в состоянии получать монопольную прибыль. В условиях эффективно функционирующего рынка монопольное положение производителя чаще всего является следствием концентрации и централизации капитала, что является преимущественно результатом нововведений.</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то же время монополия такого порядка - состояние практически недостижимое. Поэтому стремление к монопольному положению на рынке ради достижения монопольной прибыли преобладает в случае низкой средней нормы прибыли, получаемой при производстве стандартной продукции. Когда средняя норма прибыли высока, то нет существенного стимула осуществлять рисковые инновационные проекты. Обеспечить высокую норму прибыли предприятия стараются за счет экономики на издержках и масштабах производства, то есть с помощью улучшающих нововведений. Также используются методы спекулятивной игры с ценными бумагами с целью извлечения прибыли. В то же время в условиях современного рынка стимулирующее воздействие закона получения и присвоения прибыли на инновационную деятельность оказывается тем сильнее, чем труднее извлечь высокую норму прибыли альтернативными (более легкими) методами.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Получение и присвоение максимальной прибыли в качестве основной цели предприятия в настоящее время модифицировалось. Произошло превращение целевой функции фирмы из функции одной переменной (прибыли) в функцию нескольких переменных (прибыль, объем продаж, доля рынка, технологический рост). Диверсификация целевой функции фирмы говорит об усложнении способов достижения этой цели. Переход от эпохи "стандартного, массового производства", при которой получение дополнительной прибыли связывалось, в основном, с экономией </w:t>
      </w:r>
      <w:proofErr w:type="gramStart"/>
      <w:r w:rsidRPr="0005073B">
        <w:rPr>
          <w:rFonts w:ascii="Times New Roman" w:eastAsia="Times New Roman" w:hAnsi="Times New Roman" w:cs="Times New Roman"/>
          <w:sz w:val="24"/>
          <w:szCs w:val="24"/>
          <w:lang w:eastAsia="ru-RU"/>
        </w:rPr>
        <w:t>на издержка</w:t>
      </w:r>
      <w:proofErr w:type="gramEnd"/>
      <w:r w:rsidRPr="0005073B">
        <w:rPr>
          <w:rFonts w:ascii="Times New Roman" w:eastAsia="Times New Roman" w:hAnsi="Times New Roman" w:cs="Times New Roman"/>
          <w:sz w:val="24"/>
          <w:szCs w:val="24"/>
          <w:lang w:eastAsia="ru-RU"/>
        </w:rPr>
        <w:t xml:space="preserve"> к рынку структурированному, ориентированному на конкретного потребителя, значительно усложнил способ получения дополнительной прибыли. Экономия на масштабах производства уже не оказывается превалирующим способом извлечения высокой нормы прибыли, поскольку перед фирмами все чаще встает проблема реализации продукции. Современный рынок обусловливает извлечение высокой нормы прибыли путем реализации инноваций. В эпоху </w:t>
      </w:r>
      <w:r w:rsidRPr="0005073B">
        <w:rPr>
          <w:rFonts w:ascii="Times New Roman" w:eastAsia="Times New Roman" w:hAnsi="Times New Roman" w:cs="Times New Roman"/>
          <w:sz w:val="24"/>
          <w:szCs w:val="24"/>
          <w:lang w:eastAsia="ru-RU"/>
        </w:rPr>
        <w:lastRenderedPageBreak/>
        <w:t>индивидуализированного спроса закон получения и присвоения прибыли неизбежно координируется с действием законов спроса и предложения, которые, будучи конкретной формой действия закона стоимости, имеют самостоятельное содержание.</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Закон спроса и закон предложения характеризуют экономический механизм связи между производством и потреблением. В наиболее общем виде закон спроса характеризует обратную, отрицательную, связь между ценой товара и спросом на этот товар. Закон предложения, наоборот, характеризует прямую, положительную, связь между ценой и количеством предлагаемого к продаже товара. Неценовые факторы спроса и предложения, которые оказывают влияние на характер такой связи, в каждый конкретный момент позволяют фирме ориентироваться в поведении потребителей на конкретном сегменте рынка и принимать в соответствии с этим прогнозом более рациональные решения. Исследованиями такого рода занимается конкретное направление - маркетинг инновационных товаров и услуг.</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По нашему мнению, действие закона спроса непосредственно воздействует на инновационную стратегию экономической системы. Целью инновационной деятельности, как уже нам известно, является создание новшеств, которые становятся товарами на конкретном типе рынка. В этой связи перед экономической системой изначально стоит задача прогнозирования потребительского спроса на будущее новшество. В случае, когда новшество реализуется внутри организации или на государственном рынке, все решается сравнительно легко: требования потребителя сформулированы при постановке цели инновационного проекта. Сложность вызывает прогнозирование спроса (т.е. учет действия закона спроса) для радикальных революционных нововведений. В этом случае перед экономической системой стоит сложная задача - самой сформировать спрос на новшество на основе изучения, анализа еще неосознанных потребителями собственных потребностей.</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Действие закона предложения наиболее тесно связано с действием закона прибыли, поскольку непосредственно влияет на уровень коммерческой отдачи от реализации инновационного проекта. Составные части предложения, такие как: цены на ресурсы (в том числе финансовые), технология производства, налоги и дотации, цены на другие товары, число конкурентов на рынке и др. предопределяют издержки создания новшества и, следовательно, размер прогнозируемой прибыли. Необходимо осознавать, что и в теории, и на практике экономические законы рынка следует рассматривать как целостную группу законов. Каждый из действующих законов является непременным условием действия других.</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Рассматривая влияние экономических законов на экономическую систему, а в ее содержании и на инновационную деятельность, необходимо осознавать комплексность действия всех экономических механизмов. В реальной действительности все законы одновременно взаимодействуют между собой. Реальный экономический процесс выступает как некая равнодействующая многих экономических законов. Таким образом, воздействие на инновационную деятельность в экономической системе является результатом взаимодействия совокупности экономических законов, то есть выступает как </w:t>
      </w:r>
      <w:r w:rsidRPr="0005073B">
        <w:rPr>
          <w:rFonts w:ascii="Times New Roman" w:eastAsia="Times New Roman" w:hAnsi="Times New Roman" w:cs="Times New Roman"/>
          <w:sz w:val="24"/>
          <w:szCs w:val="24"/>
          <w:lang w:eastAsia="ru-RU"/>
        </w:rPr>
        <w:lastRenderedPageBreak/>
        <w:t>закономерность. Наиболее открыто это взаимодействие проявляется в механизме конкуренции. Конкуренция всегда есть непременный атрибут рыночных отношений, или индикатор развития рынка.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Конкуренция характеризуется как особый экономический закон рынка, действие которого обеспечивает единство и разрешение противоположности интересов субъектов рыночного хозяйства. Этот закон выступает как форма проявления закона естественно-экономического отбора. То есть конкуренция рассматривается как реализация диалектического закона единства и борьбы противоположностей применительно к экономической жизни общества. С этой точки зрения, на разрешение противоположных интересов товаропроизводителей в конкурентной борьбе на рынке выступает внутренней движущей силой развития рыночного хозяйства.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 нашей точки зрения, конкуренция представляет собой еще более широкое понятие. Это координирующий экономический закон, с помощью которого на конкретном рынке взаимодействуют и реализуются другие экономические законы. С помощью конкуренции рыночная экономика в определенной степени </w:t>
      </w:r>
      <w:proofErr w:type="spellStart"/>
      <w:r w:rsidRPr="0005073B">
        <w:rPr>
          <w:rFonts w:ascii="Times New Roman" w:eastAsia="Times New Roman" w:hAnsi="Times New Roman" w:cs="Times New Roman"/>
          <w:sz w:val="24"/>
          <w:szCs w:val="24"/>
          <w:lang w:eastAsia="ru-RU"/>
        </w:rPr>
        <w:t>саморегулируется</w:t>
      </w:r>
      <w:proofErr w:type="spellEnd"/>
      <w:r w:rsidRPr="0005073B">
        <w:rPr>
          <w:rFonts w:ascii="Times New Roman" w:eastAsia="Times New Roman" w:hAnsi="Times New Roman" w:cs="Times New Roman"/>
          <w:sz w:val="24"/>
          <w:szCs w:val="24"/>
          <w:lang w:eastAsia="ru-RU"/>
        </w:rPr>
        <w:t>. На наш взгляд, существует прямая взаимосвязь между конкуренцией и активностью инновационной деятельности. Сама инновационная деятельность является порождением конкуренции, а в случае признания новации на рынке результаты инновационной деятельности являются орудием конкурентной борьбы.</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Рассмотрим реализацию конкуренции инновационной деятельности как связующую компоненту экономических законов и как самостоятельный фактор влияния на инновационную деятельность в экономической системе. В зависимости от того, насколько дифференцирован инновационный продукт, сколько существует его производителей и продавцов, конкуренция может реализовываться в форме монополии, олигополии и самой конкуренции. Обладая монополией, властью над рынком, производитель инновационных продуктов находится под действием экономических законов, которые реализуются в механизме получения монопольной прибыли, эластичностью спроса, превышением цены над стоимостью и определяют модель поведения </w:t>
      </w:r>
      <w:proofErr w:type="spellStart"/>
      <w:r w:rsidRPr="0005073B">
        <w:rPr>
          <w:rFonts w:ascii="Times New Roman" w:eastAsia="Times New Roman" w:hAnsi="Times New Roman" w:cs="Times New Roman"/>
          <w:sz w:val="24"/>
          <w:szCs w:val="24"/>
          <w:lang w:eastAsia="ru-RU"/>
        </w:rPr>
        <w:t>инноватора</w:t>
      </w:r>
      <w:proofErr w:type="spellEnd"/>
      <w:r w:rsidRPr="0005073B">
        <w:rPr>
          <w:rFonts w:ascii="Times New Roman" w:eastAsia="Times New Roman" w:hAnsi="Times New Roman" w:cs="Times New Roman"/>
          <w:sz w:val="24"/>
          <w:szCs w:val="24"/>
          <w:lang w:eastAsia="ru-RU"/>
        </w:rPr>
        <w:t xml:space="preserve"> в конкурентной борьбе.</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В условиях монополии благодаря уникальности товара-новинки производитель получает возможность реализовывать продукцию по монопольным ценам, которые определяются платежеспособным спросом и предполагают монопольную прибыль. В то же время монополия, достигнутая </w:t>
      </w:r>
      <w:proofErr w:type="spellStart"/>
      <w:r w:rsidRPr="0005073B">
        <w:rPr>
          <w:rFonts w:ascii="Times New Roman" w:eastAsia="Times New Roman" w:hAnsi="Times New Roman" w:cs="Times New Roman"/>
          <w:sz w:val="24"/>
          <w:szCs w:val="24"/>
          <w:lang w:eastAsia="ru-RU"/>
        </w:rPr>
        <w:t>инноваторами</w:t>
      </w:r>
      <w:proofErr w:type="spellEnd"/>
      <w:r w:rsidRPr="0005073B">
        <w:rPr>
          <w:rFonts w:ascii="Times New Roman" w:eastAsia="Times New Roman" w:hAnsi="Times New Roman" w:cs="Times New Roman"/>
          <w:sz w:val="24"/>
          <w:szCs w:val="24"/>
          <w:lang w:eastAsia="ru-RU"/>
        </w:rPr>
        <w:t xml:space="preserve"> на рынке, не гарантирует спокойное им существование вследствие того, что инновационным продуктом начинают заниматься конкуренты, углубляется процесс интернационализации производства и </w:t>
      </w:r>
      <w:proofErr w:type="spellStart"/>
      <w:r w:rsidRPr="0005073B">
        <w:rPr>
          <w:rFonts w:ascii="Times New Roman" w:eastAsia="Times New Roman" w:hAnsi="Times New Roman" w:cs="Times New Roman"/>
          <w:sz w:val="24"/>
          <w:szCs w:val="24"/>
          <w:lang w:eastAsia="ru-RU"/>
        </w:rPr>
        <w:t>т.д.е</w:t>
      </w:r>
      <w:proofErr w:type="spellEnd"/>
      <w:r w:rsidRPr="0005073B">
        <w:rPr>
          <w:rFonts w:ascii="Times New Roman" w:eastAsia="Times New Roman" w:hAnsi="Times New Roman" w:cs="Times New Roman"/>
          <w:sz w:val="24"/>
          <w:szCs w:val="24"/>
          <w:lang w:eastAsia="ru-RU"/>
        </w:rPr>
        <w:t xml:space="preserve">. В этой связи конкуренция составляет главный фактор изменения сложившегося соотношения сил между хозяйствующими субъектами. В зависимости от степени открытости внутреннего рынка угроза конкуренции может исходить как от отечественных фирм, в том числе и за счет перелива капитала, так и от иностранных конкурентов. Это обстоятельство </w:t>
      </w:r>
      <w:proofErr w:type="gramStart"/>
      <w:r w:rsidRPr="0005073B">
        <w:rPr>
          <w:rFonts w:ascii="Times New Roman" w:eastAsia="Times New Roman" w:hAnsi="Times New Roman" w:cs="Times New Roman"/>
          <w:sz w:val="24"/>
          <w:szCs w:val="24"/>
          <w:lang w:eastAsia="ru-RU"/>
        </w:rPr>
        <w:t>при-водит</w:t>
      </w:r>
      <w:proofErr w:type="gramEnd"/>
      <w:r w:rsidRPr="0005073B">
        <w:rPr>
          <w:rFonts w:ascii="Times New Roman" w:eastAsia="Times New Roman" w:hAnsi="Times New Roman" w:cs="Times New Roman"/>
          <w:sz w:val="24"/>
          <w:szCs w:val="24"/>
          <w:lang w:eastAsia="ru-RU"/>
        </w:rPr>
        <w:t xml:space="preserve"> к тому, что для сохранения лидирующего положения фирма-монополист, создатель новшества, вынуждена не только совершенствовать свою продукцию, улучшать ее </w:t>
      </w:r>
      <w:r w:rsidRPr="0005073B">
        <w:rPr>
          <w:rFonts w:ascii="Times New Roman" w:eastAsia="Times New Roman" w:hAnsi="Times New Roman" w:cs="Times New Roman"/>
          <w:sz w:val="24"/>
          <w:szCs w:val="24"/>
          <w:lang w:eastAsia="ru-RU"/>
        </w:rPr>
        <w:lastRenderedPageBreak/>
        <w:t>потребительские свойства и снижать издержки, но заниматься созданием нового, чтобы быть способным заменить устаревшую продукцию раньше конкурентов, либо отвоевать долю рынка у вновь созданного монополиста. Здесь необходимо отметить, что именно конкуренция в инновационной сфере является средством экономического развития общества и цивилизации.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Олигополия предполагает производство идентичной продукции несколькими компаниями, так что рынок такой продукции составляет небольшое число продавцов. Специфика олигополии предопределяет направления инновационных стратегий, используемых в конкурентной борьбе. В данном случае инновации, осуществляемые фирмами-конкурентами, нацелены на совершенствование отдельных качеств товара, дизайна, сервиса в расчете на определенную группу покупателей или на конкретный сегмент рынка, а также на снижение себестоимости продукции за счет внедрения новых технологий, что позволяет создать "ценовой барьер" проникновению новых конкурентов. Это обеспечивается посредством финансирования исследований и разработок из сверхприбыли, полученной за счет новейшей техники. В поисках конкурентных преимуществ фирмы проводят новые разработки, внедряют их в производство и добиваются снижения издержек.</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Специфика олигополии предполагает достаточную однородность отрасли, что может являться тормозом на пути распространения нововведений, так как ее информационный потенциал и возможности получения сведений о новой технике ограничены. С другой стороны, фиксированное число компаний при </w:t>
      </w:r>
      <w:proofErr w:type="spellStart"/>
      <w:r w:rsidRPr="0005073B">
        <w:rPr>
          <w:rFonts w:ascii="Times New Roman" w:eastAsia="Times New Roman" w:hAnsi="Times New Roman" w:cs="Times New Roman"/>
          <w:sz w:val="24"/>
          <w:szCs w:val="24"/>
          <w:lang w:eastAsia="ru-RU"/>
        </w:rPr>
        <w:t>олигиполии</w:t>
      </w:r>
      <w:proofErr w:type="spellEnd"/>
      <w:r w:rsidRPr="0005073B">
        <w:rPr>
          <w:rFonts w:ascii="Times New Roman" w:eastAsia="Times New Roman" w:hAnsi="Times New Roman" w:cs="Times New Roman"/>
          <w:sz w:val="24"/>
          <w:szCs w:val="24"/>
          <w:lang w:eastAsia="ru-RU"/>
        </w:rPr>
        <w:t xml:space="preserve"> относительно мирно делит рынок, что снижает в некоторой степени стимулирующее воздействие конкуренции на инновационную активность этих компаний. Также необходимо отметить, что в условиях современной экономики олигополия оказывается эффективной в отраслях, производящих стандартную продукцию. В этой связи олигополия может рассматриваться экономической формой, для которой экономия на масштабах производства может быть основным фактором увеличения прибыли.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Существенным фактором, способным активизировать конкуренцию в условиях олигополии, является международная конкуренция, распространяемая на внутреннем рынке. В условиях открытости внутреннего рынка экономика отдельной страны также становится открытой системой - частью мирового рынка, что существенно меняет уровень конкуренции на всех сегментах внутреннего рынка. Осуществлять инновационную деятельность, ориентируясь на "пассивный" внутренний рынок и внешний рынок, который очень "требователен", довольно сложно. Поэтому для успешной реализации инновационной деятельности необходимы потребности, стимулы и требование единого рынка, когда фирмы будут внедрять новшества. Работая на опережение традиционного производства, они тем самым смогут уберечь себя от разорения. В то же время необходимо отметить, что отдельные фирмы достигают успеха в определенных отраслях потому, что условия внутри страны характеризуются динамичностью, что стимулирует и заставляет их использовать иные, кроме инноваций, средства для обеспечения своего выживания.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xml:space="preserve">Открытость внутреннего рынка создает условия для "динамичной конкуренции", признаками которой являются цепная реакция распространения удачных нововведений и высокая эластичность спроса по параметрам цены и качества. При этом инновационные издержки все чаще рассматриваются предпринимателями как неизбежные вложения для обеспечения "выживания" в условиях "динамичной конкуренции" и присвоения прибыли и сверхприбыли. Взаимодействие экономических механизмов на рынке монопольной конкуренции таково, что в определенные периоды времени преобладают тенденции улучшающих нововведений, но в определенные моменты взаимодействие законов стоимости, прибыли, спроса, предложения на данном типе рынка вызывает мотивацию кардинальной инновационной деятельности. Совершенная конкуренция создает условия, при которых имеют место свободный приток и отток капитала. Здесь товары продаются по ценам производства и действует механизм выравнивания индивидуальных норм прибыли в среднюю норму прибыли. Поскольку товары продаются по ценам производства, отражающим </w:t>
      </w:r>
      <w:proofErr w:type="spellStart"/>
      <w:r w:rsidRPr="0005073B">
        <w:rPr>
          <w:rFonts w:ascii="Times New Roman" w:eastAsia="Times New Roman" w:hAnsi="Times New Roman" w:cs="Times New Roman"/>
          <w:sz w:val="24"/>
          <w:szCs w:val="24"/>
          <w:lang w:eastAsia="ru-RU"/>
        </w:rPr>
        <w:t>общественнонеобходимые</w:t>
      </w:r>
      <w:proofErr w:type="spellEnd"/>
      <w:r w:rsidRPr="0005073B">
        <w:rPr>
          <w:rFonts w:ascii="Times New Roman" w:eastAsia="Times New Roman" w:hAnsi="Times New Roman" w:cs="Times New Roman"/>
          <w:sz w:val="24"/>
          <w:szCs w:val="24"/>
          <w:lang w:eastAsia="ru-RU"/>
        </w:rPr>
        <w:t xml:space="preserve"> издержки производства продукции, основной целью инновационной деятельности является борьба за снижение </w:t>
      </w:r>
      <w:proofErr w:type="spellStart"/>
      <w:proofErr w:type="gramStart"/>
      <w:r w:rsidRPr="0005073B">
        <w:rPr>
          <w:rFonts w:ascii="Times New Roman" w:eastAsia="Times New Roman" w:hAnsi="Times New Roman" w:cs="Times New Roman"/>
          <w:sz w:val="24"/>
          <w:szCs w:val="24"/>
          <w:lang w:eastAsia="ru-RU"/>
        </w:rPr>
        <w:t>издер-жек</w:t>
      </w:r>
      <w:proofErr w:type="spellEnd"/>
      <w:proofErr w:type="gramEnd"/>
      <w:r w:rsidRPr="0005073B">
        <w:rPr>
          <w:rFonts w:ascii="Times New Roman" w:eastAsia="Times New Roman" w:hAnsi="Times New Roman" w:cs="Times New Roman"/>
          <w:sz w:val="24"/>
          <w:szCs w:val="24"/>
          <w:lang w:eastAsia="ru-RU"/>
        </w:rPr>
        <w:t xml:space="preserve"> производства ниже общественно-необходимых. Но в основном это подход теоретический.</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реальной экономике практически любая экономическая система действует в условиях несовершенной конкуренции. Тем не менее каждый конкретный тип конкуренции обусловливает структурные характеристики рынка, на котором осуществляется инновационная деятельность под воздействием экономических законов, каждый из которых имеет специфическое проявление конкуренции на данном сегменте рынка. В свою очередь, структурные характеристики рынка посредством воздействия объективных экономических законов определяют ответную реакцию экономической системы, что находит отражение в инновационной стратегии фирм. В то же время для анализа воздействия конкуренции на инновационную активность важна также и степень интенсивности конкурентной борьбы с учетом достаточности финансового обеспечения.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этой ситуации появляется закономерная зависимость между интенсивностью конкурентной борьбы и восприимчивостью к нововведениям. Но эта зависимость неоднозначна. Умеренная конкуренция способствует ускорению процесса внедрения новшеств, но по мере усиления конкурентной борьбы денежные ресурсы отрасли истощаются. А это приводит к тому, что инновационный процесс или замедляется, или затухает совсем. Определение оптимальной интенсивности конкурентной борьбы с учетом финансовой стороны инновационного процесса позволяет правильно оценить созидательное воздействие конкурентной борьбы на инновационную деятельность как фактора экономического развития.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Как известно, конкуренция может быть созидательной или разрушительной. Очевидно, что критерием созидательной конкурентной борьбы как раз и выступает инновационная деятельность на конкретном типе рынка. Завершая рассмотрение влияния лишь некоторых объективных факторов на активность инновационной деятельности, необходимо обратить внимание на цикличность экономического развития рыночной экономики. Это очень важно, так как каждая фаза экономического цикла видоизменяет механизм действия экономических законов, а, следовательно, преобразует условия для инновационной деятельности.</w:t>
      </w: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lastRenderedPageBreak/>
        <w:t>КРИТЕРИЙ ОЦЕНКИ УРОВНЯ РАЗВИТИЯ ЭКОНОМИКИ</w:t>
      </w: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А.Н. Ревенков, к.э.н., генеральный директор ОАО "Кондитерская фабрика "Волжанка" </w:t>
      </w: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Конституции РФ (статья 7) записано, что Россия - это социальное государство, политика которого направлена на создание условий, обеспечивающих достойную жизнь и свободное развитие человека. Из этого следует, что в оценке уровня развития страны решающая роль принадлежит показателям, характеризующим уровень и динамику потребления населением различных благ и услуг как материальных, так и духовных во всем их многообразии. Несмотря на то, что потребительные стоимости разных товаров и услуг несопоставимы, возможны (и необходимы) оценка, выбор, обоснование предпочтений различных векторов потребления. (Эти вопросы достаточно глубоко разработаны в отечественной экономической литературе и нами подробно не рассматриваются.)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Очевидно, что уровень и динамика потребления населением товаров и услуг определяются, во-первых, доходами населения, структурой потребления; во-вторых, структурой их производства (потребить можно только то, что произведено).</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Различают:</w:t>
      </w:r>
    </w:p>
    <w:p w:rsidR="0005073B" w:rsidRPr="0005073B" w:rsidRDefault="0005073B" w:rsidP="0005073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w:t>
      </w:r>
      <w:r w:rsidRPr="0005073B">
        <w:rPr>
          <w:rFonts w:ascii="Times New Roman" w:eastAsia="Times New Roman" w:hAnsi="Times New Roman" w:cs="Times New Roman"/>
          <w:b/>
          <w:bCs/>
          <w:sz w:val="24"/>
          <w:szCs w:val="24"/>
          <w:lang w:eastAsia="ru-RU"/>
        </w:rPr>
        <w:t xml:space="preserve"> денежные доходы населения</w:t>
      </w:r>
      <w:r w:rsidRPr="0005073B">
        <w:rPr>
          <w:rFonts w:ascii="Times New Roman" w:eastAsia="Times New Roman" w:hAnsi="Times New Roman" w:cs="Times New Roman"/>
          <w:sz w:val="24"/>
          <w:szCs w:val="24"/>
          <w:lang w:eastAsia="ru-RU"/>
        </w:rPr>
        <w:t xml:space="preserve">, включающие оплату по труду всех категорий населения, доходы лиц, занятых предпринимательской деятельностью, пенсии, пособия, стипендии, прочие социальные трансферты, доходы от собственности (проценты по вкладам, ценным бумагам, рента) и прочие; </w:t>
      </w:r>
    </w:p>
    <w:p w:rsidR="0005073B" w:rsidRPr="0005073B" w:rsidRDefault="0005073B" w:rsidP="0005073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b/>
          <w:bCs/>
          <w:sz w:val="24"/>
          <w:szCs w:val="24"/>
          <w:lang w:eastAsia="ru-RU"/>
        </w:rPr>
        <w:t>располагаемые денежные доходы</w:t>
      </w:r>
      <w:r w:rsidRPr="0005073B">
        <w:rPr>
          <w:rFonts w:ascii="Times New Roman" w:eastAsia="Times New Roman" w:hAnsi="Times New Roman" w:cs="Times New Roman"/>
          <w:sz w:val="24"/>
          <w:szCs w:val="24"/>
          <w:lang w:eastAsia="ru-RU"/>
        </w:rPr>
        <w:t xml:space="preserve"> - денежные доходы за вычетом обязательных платежей и взносов;</w:t>
      </w:r>
    </w:p>
    <w:p w:rsidR="0005073B" w:rsidRPr="0005073B" w:rsidRDefault="0005073B" w:rsidP="0005073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b/>
          <w:bCs/>
          <w:sz w:val="24"/>
          <w:szCs w:val="24"/>
          <w:lang w:eastAsia="ru-RU"/>
        </w:rPr>
        <w:t>среднедушевые денежные доходы</w:t>
      </w:r>
      <w:r w:rsidRPr="0005073B">
        <w:rPr>
          <w:rFonts w:ascii="Times New Roman" w:eastAsia="Times New Roman" w:hAnsi="Times New Roman" w:cs="Times New Roman"/>
          <w:sz w:val="24"/>
          <w:szCs w:val="24"/>
          <w:lang w:eastAsia="ru-RU"/>
        </w:rPr>
        <w:t xml:space="preserve">, которые характеризуют дифференциацию населения по уровню материального достатка и представляют собой показатели численности постоянного населения или каких-то его частей, сгруппированных в заданных интервалах по уровню среднедушевых денежных доходов; </w:t>
      </w:r>
    </w:p>
    <w:p w:rsidR="0005073B" w:rsidRPr="0005073B" w:rsidRDefault="0005073B" w:rsidP="0005073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b/>
          <w:bCs/>
          <w:sz w:val="24"/>
          <w:szCs w:val="24"/>
          <w:lang w:eastAsia="ru-RU"/>
        </w:rPr>
        <w:t>величину прожиточного минимума</w:t>
      </w:r>
      <w:r w:rsidRPr="0005073B">
        <w:rPr>
          <w:rFonts w:ascii="Times New Roman" w:eastAsia="Times New Roman" w:hAnsi="Times New Roman" w:cs="Times New Roman"/>
          <w:sz w:val="24"/>
          <w:szCs w:val="24"/>
          <w:lang w:eastAsia="ru-RU"/>
        </w:rPr>
        <w:t>, представляющую собой стоимостную оценку натурального набора продуктов питания, необходимых для поддержания жизнедеятельности человека, а также расходы на непродовольственные товары и услуги, налоги и обязательные платежи, которая может быть рассчитана на основе методических рекомендаций, утвержденных Министерством труда РФ 10 ноября 1992, и использоваться в качестве критерия бедности при характеристике процессов социально-экономической дифференциации.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Распределение населения по уровню материального благосостояния, уровню доходов, потребления, условиям жизни людей, структуре потребительских расходов в семьях различного состава, динамике потребительского спроса, другим показателям, которые </w:t>
      </w:r>
      <w:r w:rsidRPr="0005073B">
        <w:rPr>
          <w:rFonts w:ascii="Times New Roman" w:eastAsia="Times New Roman" w:hAnsi="Times New Roman" w:cs="Times New Roman"/>
          <w:sz w:val="24"/>
          <w:szCs w:val="24"/>
          <w:lang w:eastAsia="ru-RU"/>
        </w:rPr>
        <w:lastRenderedPageBreak/>
        <w:t>получаются из материалов выборочного обследования бюджетов домашних хозяйств, с 1997 года ведется по новому перечню признаков, позволяющих получить полные данные о составе расходов и объемах личного потребления домашних хозяйств. Переход к рынку усилил дифференциацию доходов населения, что явилось одной из причин обострения ситуации в социальной сфере (по мнению некоторых исследователей "социального дефолта"), актуализации проблемы создания действенной системы социальной защиты бедных слоев населения.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К основным принципам реформирования системы социальной защиты относятся следующие:</w:t>
      </w:r>
    </w:p>
    <w:p w:rsidR="0005073B" w:rsidRPr="0005073B" w:rsidRDefault="0005073B" w:rsidP="0005073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стимулирование трудовой активности, предотвращение иждивенчества;</w:t>
      </w:r>
    </w:p>
    <w:p w:rsidR="0005073B" w:rsidRPr="0005073B" w:rsidRDefault="0005073B" w:rsidP="0005073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повышение эффективности системы социального обеспечения за счет уменьшения количества льгот, пособий, их адресного применения;</w:t>
      </w:r>
    </w:p>
    <w:p w:rsidR="0005073B" w:rsidRPr="0005073B" w:rsidRDefault="0005073B" w:rsidP="0005073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 сочетание государственных форм поддержки с привлечением средств негосударственного сектора; </w:t>
      </w:r>
    </w:p>
    <w:p w:rsidR="0005073B" w:rsidRPr="0005073B" w:rsidRDefault="0005073B" w:rsidP="0005073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сохранение элементов всеобщего охвата населения социальной помощью в области предоставления наиболее значимых услуг.</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Реализация названных принципов предполагает необходимость активизации действий на ряде ключевых направлений.</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Реструктуризация номенклатуры социальных льгот и гарантий.</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настоящее время в российском законодательстве предусмотрено 150 видов льгот, пособий, других видов социальных выплат, которыми охвачено 256 категорий населения, из которых беднейшие слои населения получают не более пятой части общей суммы льгот и выплат.</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Для того чтобы обеспечить выплату всех предусмотренных льгот и пособий в полном объеме, необходимо расходовать на эти цели более 15% ВВП (для примера: в 1999 году расходы консолидированного бюджета на социальные нужды составили более 74 млрд. руб., или 1,7% ВВП, или 6% суммарного консолидированного бюджета; очевидно, что в таких условиях государство не в состоянии выполнять свои обязательства перед гражданами). Поэтому в 1999 году был принят Федеральный закон "О государственной социальной помощи", на основе которого планировалось перейти к адресному принципу поддержки.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Однако вместо жесткой привязки льгот, пособий, выплат к источникам их финансирования, разработки механизма, который позволил бы сбалансировать доходы и расходы, Закон </w:t>
      </w:r>
      <w:r w:rsidRPr="0005073B">
        <w:rPr>
          <w:rFonts w:ascii="Times New Roman" w:eastAsia="Times New Roman" w:hAnsi="Times New Roman" w:cs="Times New Roman"/>
          <w:sz w:val="24"/>
          <w:szCs w:val="24"/>
          <w:lang w:eastAsia="ru-RU"/>
        </w:rPr>
        <w:lastRenderedPageBreak/>
        <w:t>расширил границы предоставления помощи, что лишь усугубило и без того непростую ситуацию. Аналогичная ситуация в регионах, муниципальных образованиях, за счет которых выплачиваются главным образом средства, расходуемые во исполнение законов "О ветеранах", "О государственных пособиях гражданам, имеющим детей", "О социальной защите инвалидов в РФ". При этом только два вида выплат распределяются на адресной основе - ежемесячное пособие на ребенка и жилищные субсидии.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Изменение принципов назначения социальных пособий</w:t>
      </w:r>
      <w:r w:rsidRPr="0005073B">
        <w:rPr>
          <w:rFonts w:ascii="Times New Roman" w:eastAsia="Times New Roman" w:hAnsi="Times New Roman" w:cs="Times New Roman"/>
          <w:sz w:val="24"/>
          <w:szCs w:val="24"/>
          <w:lang w:eastAsia="ru-RU"/>
        </w:rPr>
        <w:t xml:space="preserve"> прежде всего сопряжено с необходимостью отказа от назначения пособий по принадлежности их соискателей к той или иной социальной группе и перехода к их адресному назначению. Для этого необходимо уточнить критерии, условия оказания адресной помощи, наладить оперативный учет нуждающихся в социальной поддержке, исходя из размера средств, предусматриваемых на эти цели в определенном периоде, постоянно отслеживать изменения в уровне жизни населения, его динамике.</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Совершенствование механизма предоставления социальной помощи</w:t>
      </w:r>
      <w:r w:rsidRPr="0005073B">
        <w:rPr>
          <w:rFonts w:ascii="Times New Roman" w:eastAsia="Times New Roman" w:hAnsi="Times New Roman" w:cs="Times New Roman"/>
          <w:sz w:val="24"/>
          <w:szCs w:val="24"/>
          <w:lang w:eastAsia="ru-RU"/>
        </w:rPr>
        <w:t xml:space="preserve">. В основе распределения средств социальной помощи должны лежать государственные минимальные социальные стандарты, уточняемые на местном уровне с учетом региональных и других особенностей. Наряду с минимальными следует рассчитывать и нормальные (средние), и </w:t>
      </w:r>
      <w:proofErr w:type="gramStart"/>
      <w:r w:rsidRPr="0005073B">
        <w:rPr>
          <w:rFonts w:ascii="Times New Roman" w:eastAsia="Times New Roman" w:hAnsi="Times New Roman" w:cs="Times New Roman"/>
          <w:sz w:val="24"/>
          <w:szCs w:val="24"/>
          <w:lang w:eastAsia="ru-RU"/>
        </w:rPr>
        <w:t>рациональные социальные нормы</w:t>
      </w:r>
      <w:proofErr w:type="gramEnd"/>
      <w:r w:rsidRPr="0005073B">
        <w:rPr>
          <w:rFonts w:ascii="Times New Roman" w:eastAsia="Times New Roman" w:hAnsi="Times New Roman" w:cs="Times New Roman"/>
          <w:sz w:val="24"/>
          <w:szCs w:val="24"/>
          <w:lang w:eastAsia="ru-RU"/>
        </w:rPr>
        <w:t xml:space="preserve"> и нормативы. Планирование расходов бюджета на основе таких нормативов позволит существенно повысить обоснованность этой работы.</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каждом регионе должен постоянно рассчитываться прожиточный минимум. Для этого в 1999 году был принят Закон "О потребительской корзине в целом по Российской Федерации", в котором содержится методика расчета потребительской корзины для различных групп населения, что позволило унифицировать эти расчеты. При всех недостатках методики необходимо обеспечить повсеместное проведение этих расчетов, положив их в основу определения обязательного минимума социальных гарантий общества своим членам.</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Ниже анализируются уровень и динамика доходов населения России (до 1991 года, главным образом, СССР) в глубокой ретроспективе. В начале 90-х годов экономическая ситуация в России изменилась коренным образом. Имевшие место устойчивые тенденции в развитии изменились до противоположных. Высокие темпы инфляции, ставшие постоянным спутником реформ, потребовали постоянного приведения показателей к сопоставимому виду. Если в 1940-1985 гг. среднемесячная заработная плата работающих в СССР возросла с 33,1 руб. до 190,1 руб., что по сути характеризовало соответствующий рост жизненного уровня населения, то рост среднемесячной начисленной заработной платы работников предприятий и организаций с 548 руб. в 1991 г. до 1101 руб. в 1998 г. в действующих ценах сопровождался снижением уровня потребления населения на 52%. Если в 1986 г. рост производительности труда в Российской Федерации по сравнению с 1940 г. превысил 10,3 раза (по сравнению с 1960 г. - более, чем в 3,2 раза), то снижение реальной заработной платы в 90-е годы сопровождалось еще более высокими темпами падения производительности труда.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Снижение уровня реальных доходов населения естественно привело к ухудшению соотношения между среднемесячной заработной платой и </w:t>
      </w:r>
      <w:proofErr w:type="gramStart"/>
      <w:r w:rsidRPr="0005073B">
        <w:rPr>
          <w:rFonts w:ascii="Times New Roman" w:eastAsia="Times New Roman" w:hAnsi="Times New Roman" w:cs="Times New Roman"/>
          <w:sz w:val="24"/>
          <w:szCs w:val="24"/>
          <w:lang w:eastAsia="ru-RU"/>
        </w:rPr>
        <w:t>выплатами социального характера</w:t>
      </w:r>
      <w:proofErr w:type="gramEnd"/>
      <w:r w:rsidRPr="0005073B">
        <w:rPr>
          <w:rFonts w:ascii="Times New Roman" w:eastAsia="Times New Roman" w:hAnsi="Times New Roman" w:cs="Times New Roman"/>
          <w:sz w:val="24"/>
          <w:szCs w:val="24"/>
          <w:lang w:eastAsia="ru-RU"/>
        </w:rPr>
        <w:t xml:space="preserve"> и прожиточным минимумом, которое составило в 1995 г. 179% против 335% в 1991 г., а в 1998 г. возросло до 205%. 1996-2000 гг. не привели к преодолению негативных тенденций в динамике показателей, определяющих уровень потребления населением товаров и услуг, что подтверждается данными табл. 1.</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Таблица 1.</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Показатели уровня жизни населения РФ в 1996-2000 гг. </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7"/>
        <w:gridCol w:w="976"/>
        <w:gridCol w:w="976"/>
        <w:gridCol w:w="976"/>
        <w:gridCol w:w="887"/>
        <w:gridCol w:w="1420"/>
      </w:tblGrid>
      <w:tr w:rsidR="0005073B" w:rsidRPr="0005073B" w:rsidTr="0005073B">
        <w:trPr>
          <w:tblCellSpacing w:w="0" w:type="dxa"/>
        </w:trPr>
        <w:tc>
          <w:tcPr>
            <w:tcW w:w="20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Показатели</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Годы</w:t>
            </w:r>
          </w:p>
        </w:tc>
      </w:tr>
      <w:tr w:rsidR="0005073B" w:rsidRPr="0005073B" w:rsidTr="000507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1996</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1998</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2000 </w:t>
            </w:r>
            <w:r w:rsidRPr="0005073B">
              <w:rPr>
                <w:rFonts w:ascii="Times New Roman" w:eastAsia="Times New Roman" w:hAnsi="Times New Roman" w:cs="Times New Roman"/>
                <w:sz w:val="24"/>
                <w:szCs w:val="24"/>
                <w:lang w:eastAsia="ru-RU"/>
              </w:rPr>
              <w:br/>
              <w:t>(I полугодие)</w:t>
            </w:r>
          </w:p>
        </w:tc>
      </w:tr>
      <w:tr w:rsidR="0005073B" w:rsidRPr="0005073B" w:rsidTr="0005073B">
        <w:trPr>
          <w:tblCellSpacing w:w="0" w:type="dxa"/>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Реальные располагаемые денежные доходы, процентов к 1995 г.</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100,1</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105,4</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88,2</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75,2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81,3</w:t>
            </w:r>
          </w:p>
        </w:tc>
      </w:tr>
      <w:tr w:rsidR="0005073B" w:rsidRPr="0005073B" w:rsidTr="0005073B">
        <w:trPr>
          <w:tblCellSpacing w:w="0" w:type="dxa"/>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Реальная заработная плата, процентов к 1995 г.</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106</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111</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96,1</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74,2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91,6</w:t>
            </w:r>
          </w:p>
        </w:tc>
      </w:tr>
      <w:tr w:rsidR="0005073B" w:rsidRPr="0005073B" w:rsidTr="0005073B">
        <w:trPr>
          <w:tblCellSpacing w:w="0" w:type="dxa"/>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Численность безработных, млн. чел.</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7,8</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8,6</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9,3</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8,6</w:t>
            </w:r>
          </w:p>
        </w:tc>
      </w:tr>
      <w:tr w:rsidR="0005073B" w:rsidRPr="0005073B" w:rsidTr="0005073B">
        <w:trPr>
          <w:tblCellSpacing w:w="0" w:type="dxa"/>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Доля безработных в экономически активном населении, процентов</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9,6</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10,8</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11,9</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12,6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11,6</w:t>
            </w:r>
          </w:p>
        </w:tc>
      </w:tr>
    </w:tbl>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Из табл. 1 видно, что и реальные располагаемые денежные доходы, и реальная заработная плата населения продолжали снижаться. Даже в 1999-2000 гг., отличавшихся некоторым оживлением, уровень доходов оставался существенно ниже, чем в 1995 г. В 2000 г. несколько снизилась численность безработных, однако уровень безработицы остается стабильно высоким. Таким образом, изложенное свидетельствует об устойчивой тенденции падения реальных доходов населения в последнее десятилетие. Некоторые положительные изменения, имевшие место в 2000 году, не являются следствием реализации </w:t>
      </w:r>
      <w:proofErr w:type="spellStart"/>
      <w:r w:rsidRPr="0005073B">
        <w:rPr>
          <w:rFonts w:ascii="Times New Roman" w:eastAsia="Times New Roman" w:hAnsi="Times New Roman" w:cs="Times New Roman"/>
          <w:sz w:val="24"/>
          <w:szCs w:val="24"/>
          <w:lang w:eastAsia="ru-RU"/>
        </w:rPr>
        <w:t>научнообоснованной</w:t>
      </w:r>
      <w:proofErr w:type="spellEnd"/>
      <w:r w:rsidRPr="0005073B">
        <w:rPr>
          <w:rFonts w:ascii="Times New Roman" w:eastAsia="Times New Roman" w:hAnsi="Times New Roman" w:cs="Times New Roman"/>
          <w:sz w:val="24"/>
          <w:szCs w:val="24"/>
          <w:lang w:eastAsia="ru-RU"/>
        </w:rPr>
        <w:t xml:space="preserve"> стратегии развития, а базируются на конъюнктурных факторах (мировые цены на энергоносители, военные действия в Чечне и др.), неспособных оказывать длительное устойчивое влияние в необходимых направлениях. Уровень удовлетворения потребностей населения наряду с доходами определяется величиной валового внутреннего продукта, его структурой. Показатели экономического развития СССР и РФ в 1960-1987 гг. представлены в табл. 2.</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Таблица 2</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Показатели экономического развития СССР и РФ в 1960 - 1987 гг. </w:t>
      </w:r>
    </w:p>
    <w:tbl>
      <w:tblPr>
        <w:tblW w:w="955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18"/>
        <w:gridCol w:w="948"/>
        <w:gridCol w:w="886"/>
        <w:gridCol w:w="886"/>
        <w:gridCol w:w="917"/>
      </w:tblGrid>
      <w:tr w:rsidR="0005073B" w:rsidRPr="0005073B" w:rsidTr="0005073B">
        <w:trPr>
          <w:tblCellSpacing w:w="0" w:type="dxa"/>
        </w:trPr>
        <w:tc>
          <w:tcPr>
            <w:tcW w:w="5715" w:type="dxa"/>
            <w:vMerge w:val="restart"/>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Показатели</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Годы</w:t>
            </w:r>
          </w:p>
        </w:tc>
      </w:tr>
      <w:tr w:rsidR="0005073B" w:rsidRPr="0005073B" w:rsidTr="0005073B">
        <w:trPr>
          <w:trHeight w:val="1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1960</w:t>
            </w:r>
          </w:p>
        </w:tc>
        <w:tc>
          <w:tcPr>
            <w:tcW w:w="8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1970</w:t>
            </w:r>
          </w:p>
        </w:tc>
        <w:tc>
          <w:tcPr>
            <w:tcW w:w="8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1980</w:t>
            </w:r>
          </w:p>
        </w:tc>
        <w:tc>
          <w:tcPr>
            <w:tcW w:w="88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1987</w:t>
            </w:r>
          </w:p>
        </w:tc>
      </w:tr>
      <w:tr w:rsidR="0005073B" w:rsidRPr="0005073B" w:rsidTr="0005073B">
        <w:trPr>
          <w:trHeight w:val="276"/>
          <w:tblCellSpacing w:w="0" w:type="dxa"/>
        </w:trPr>
        <w:tc>
          <w:tcPr>
            <w:tcW w:w="5715" w:type="dxa"/>
            <w:vMerge w:val="restart"/>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before="100" w:beforeAutospacing="1" w:after="100" w:afterAutospacing="1"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ССС Р</w:t>
            </w:r>
            <w:r w:rsidRPr="0005073B">
              <w:rPr>
                <w:rFonts w:ascii="Times New Roman" w:eastAsia="Times New Roman" w:hAnsi="Times New Roman" w:cs="Times New Roman"/>
                <w:sz w:val="24"/>
                <w:szCs w:val="24"/>
                <w:lang w:eastAsia="ru-RU"/>
              </w:rPr>
              <w:br/>
              <w:t>Валовой общественный продукт 1950 г.=1</w:t>
            </w:r>
          </w:p>
        </w:tc>
        <w:tc>
          <w:tcPr>
            <w:tcW w:w="915" w:type="dxa"/>
            <w:vMerge w:val="restart"/>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2,5</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4,9</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8,9</w:t>
            </w:r>
          </w:p>
        </w:tc>
        <w:tc>
          <w:tcPr>
            <w:tcW w:w="885" w:type="dxa"/>
            <w:vMerge w:val="restart"/>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10,5</w:t>
            </w:r>
          </w:p>
        </w:tc>
      </w:tr>
      <w:tr w:rsidR="0005073B" w:rsidRPr="0005073B" w:rsidTr="0005073B">
        <w:trPr>
          <w:trHeight w:val="40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r>
      <w:tr w:rsidR="0005073B" w:rsidRPr="0005073B" w:rsidTr="0005073B">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Численность населения, млн. чел.</w:t>
            </w:r>
          </w:p>
        </w:tc>
        <w:tc>
          <w:tcPr>
            <w:tcW w:w="9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212,4</w:t>
            </w:r>
          </w:p>
        </w:tc>
        <w:tc>
          <w:tcPr>
            <w:tcW w:w="8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241,7</w:t>
            </w:r>
          </w:p>
        </w:tc>
        <w:tc>
          <w:tcPr>
            <w:tcW w:w="8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294,5</w:t>
            </w:r>
          </w:p>
        </w:tc>
        <w:tc>
          <w:tcPr>
            <w:tcW w:w="88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281,7</w:t>
            </w:r>
          </w:p>
        </w:tc>
      </w:tr>
      <w:tr w:rsidR="0005073B" w:rsidRPr="0005073B" w:rsidTr="0005073B">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Валовой общественный продукт на душу населения, 1950 г. = 1</w:t>
            </w:r>
          </w:p>
        </w:tc>
        <w:tc>
          <w:tcPr>
            <w:tcW w:w="9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2,1</w:t>
            </w:r>
          </w:p>
        </w:tc>
        <w:tc>
          <w:tcPr>
            <w:tcW w:w="8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3,6</w:t>
            </w:r>
          </w:p>
        </w:tc>
        <w:tc>
          <w:tcPr>
            <w:tcW w:w="8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5,5</w:t>
            </w:r>
          </w:p>
        </w:tc>
        <w:tc>
          <w:tcPr>
            <w:tcW w:w="88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6,6</w:t>
            </w:r>
          </w:p>
        </w:tc>
      </w:tr>
      <w:tr w:rsidR="0005073B" w:rsidRPr="0005073B" w:rsidTr="0005073B">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Доля СССР в показателях США, проц. Национальный доход</w:t>
            </w:r>
          </w:p>
        </w:tc>
        <w:tc>
          <w:tcPr>
            <w:tcW w:w="9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58</w:t>
            </w:r>
          </w:p>
        </w:tc>
        <w:tc>
          <w:tcPr>
            <w:tcW w:w="8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65</w:t>
            </w:r>
          </w:p>
        </w:tc>
        <w:tc>
          <w:tcPr>
            <w:tcW w:w="8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67</w:t>
            </w:r>
          </w:p>
        </w:tc>
        <w:tc>
          <w:tcPr>
            <w:tcW w:w="88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66</w:t>
            </w:r>
          </w:p>
        </w:tc>
      </w:tr>
      <w:tr w:rsidR="0005073B" w:rsidRPr="0005073B" w:rsidTr="0005073B">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Продукция промышленности</w:t>
            </w:r>
          </w:p>
        </w:tc>
        <w:tc>
          <w:tcPr>
            <w:tcW w:w="9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55</w:t>
            </w:r>
          </w:p>
        </w:tc>
        <w:tc>
          <w:tcPr>
            <w:tcW w:w="8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75</w:t>
            </w:r>
          </w:p>
        </w:tc>
        <w:tc>
          <w:tcPr>
            <w:tcW w:w="8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80</w:t>
            </w:r>
          </w:p>
        </w:tc>
        <w:tc>
          <w:tcPr>
            <w:tcW w:w="88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80</w:t>
            </w:r>
          </w:p>
        </w:tc>
      </w:tr>
      <w:tr w:rsidR="0005073B" w:rsidRPr="0005073B" w:rsidTr="0005073B">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Продукция сельского хозяйства</w:t>
            </w:r>
          </w:p>
        </w:tc>
        <w:tc>
          <w:tcPr>
            <w:tcW w:w="9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70</w:t>
            </w:r>
          </w:p>
        </w:tc>
        <w:tc>
          <w:tcPr>
            <w:tcW w:w="8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85</w:t>
            </w:r>
          </w:p>
        </w:tc>
        <w:tc>
          <w:tcPr>
            <w:tcW w:w="8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85</w:t>
            </w:r>
          </w:p>
        </w:tc>
        <w:tc>
          <w:tcPr>
            <w:tcW w:w="88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85</w:t>
            </w:r>
          </w:p>
        </w:tc>
      </w:tr>
      <w:tr w:rsidR="0005073B" w:rsidRPr="0005073B" w:rsidTr="0005073B">
        <w:trPr>
          <w:trHeight w:val="276"/>
          <w:tblCellSpacing w:w="0" w:type="dxa"/>
        </w:trPr>
        <w:tc>
          <w:tcPr>
            <w:tcW w:w="5715" w:type="dxa"/>
            <w:vMerge w:val="restart"/>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Россия 1940 г</w:t>
            </w:r>
            <w:r w:rsidRPr="0005073B">
              <w:rPr>
                <w:rFonts w:ascii="Times New Roman" w:eastAsia="Times New Roman" w:hAnsi="Times New Roman" w:cs="Times New Roman"/>
                <w:sz w:val="24"/>
                <w:szCs w:val="24"/>
                <w:lang w:eastAsia="ru-RU"/>
              </w:rPr>
              <w:t>. = 1. Темпы роста объема производства</w:t>
            </w:r>
            <w:r w:rsidRPr="0005073B">
              <w:rPr>
                <w:rFonts w:ascii="Times New Roman" w:eastAsia="Times New Roman" w:hAnsi="Times New Roman" w:cs="Times New Roman"/>
                <w:sz w:val="24"/>
                <w:szCs w:val="24"/>
                <w:lang w:eastAsia="ru-RU"/>
              </w:rPr>
              <w:br/>
              <w:t xml:space="preserve">в промышленности </w:t>
            </w:r>
            <w:r w:rsidRPr="0005073B">
              <w:rPr>
                <w:rFonts w:ascii="Times New Roman" w:eastAsia="Times New Roman" w:hAnsi="Times New Roman" w:cs="Times New Roman"/>
                <w:sz w:val="24"/>
                <w:szCs w:val="24"/>
                <w:lang w:eastAsia="ru-RU"/>
              </w:rPr>
              <w:br/>
              <w:t>в сельском хозяйстве</w:t>
            </w:r>
          </w:p>
        </w:tc>
        <w:tc>
          <w:tcPr>
            <w:tcW w:w="915" w:type="dxa"/>
            <w:vMerge w:val="restart"/>
            <w:tcBorders>
              <w:top w:val="outset" w:sz="6" w:space="0" w:color="auto"/>
              <w:left w:val="outset" w:sz="6" w:space="0" w:color="auto"/>
              <w:bottom w:val="outset" w:sz="6" w:space="0" w:color="auto"/>
              <w:right w:val="outset" w:sz="6" w:space="0" w:color="auto"/>
            </w:tcBorders>
            <w:vAlign w:val="bottom"/>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4,9</w:t>
            </w:r>
          </w:p>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1,7</w:t>
            </w:r>
          </w:p>
        </w:tc>
        <w:tc>
          <w:tcPr>
            <w:tcW w:w="855" w:type="dxa"/>
            <w:vMerge w:val="restart"/>
            <w:tcBorders>
              <w:top w:val="outset" w:sz="6" w:space="0" w:color="auto"/>
              <w:left w:val="outset" w:sz="6" w:space="0" w:color="auto"/>
              <w:bottom w:val="outset" w:sz="6" w:space="0" w:color="auto"/>
              <w:right w:val="outset" w:sz="6" w:space="0" w:color="auto"/>
            </w:tcBorders>
            <w:vAlign w:val="bottom"/>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10,6</w:t>
            </w:r>
          </w:p>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2,2</w:t>
            </w:r>
          </w:p>
        </w:tc>
        <w:tc>
          <w:tcPr>
            <w:tcW w:w="855" w:type="dxa"/>
            <w:vMerge w:val="restart"/>
            <w:tcBorders>
              <w:top w:val="outset" w:sz="6" w:space="0" w:color="auto"/>
              <w:left w:val="outset" w:sz="6" w:space="0" w:color="auto"/>
              <w:bottom w:val="outset" w:sz="6" w:space="0" w:color="auto"/>
              <w:right w:val="outset" w:sz="6" w:space="0" w:color="auto"/>
            </w:tcBorders>
            <w:vAlign w:val="bottom"/>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18,5</w:t>
            </w:r>
          </w:p>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2,3</w:t>
            </w:r>
          </w:p>
        </w:tc>
        <w:tc>
          <w:tcPr>
            <w:tcW w:w="885" w:type="dxa"/>
            <w:vMerge w:val="restart"/>
            <w:tcBorders>
              <w:top w:val="outset" w:sz="6" w:space="0" w:color="auto"/>
              <w:left w:val="outset" w:sz="6" w:space="0" w:color="auto"/>
              <w:bottom w:val="outset" w:sz="6" w:space="0" w:color="auto"/>
              <w:right w:val="outset" w:sz="6" w:space="0" w:color="auto"/>
            </w:tcBorders>
            <w:vAlign w:val="bottom"/>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23,7</w:t>
            </w:r>
          </w:p>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2,8</w:t>
            </w:r>
          </w:p>
        </w:tc>
      </w:tr>
      <w:tr w:rsidR="0005073B" w:rsidRPr="0005073B" w:rsidTr="0005073B">
        <w:trPr>
          <w:trHeight w:val="40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r>
      <w:tr w:rsidR="0005073B" w:rsidRPr="0005073B" w:rsidTr="0005073B">
        <w:trPr>
          <w:trHeight w:val="40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r>
      <w:tr w:rsidR="0005073B" w:rsidRPr="0005073B" w:rsidTr="0005073B">
        <w:trPr>
          <w:trHeight w:val="40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r>
    </w:tbl>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Рассчитано по: Народное хозяйство СССР за 70 лет. Юбилейный статистический </w:t>
      </w:r>
      <w:proofErr w:type="gramStart"/>
      <w:r w:rsidRPr="0005073B">
        <w:rPr>
          <w:rFonts w:ascii="Times New Roman" w:eastAsia="Times New Roman" w:hAnsi="Times New Roman" w:cs="Times New Roman"/>
          <w:sz w:val="24"/>
          <w:szCs w:val="24"/>
          <w:lang w:eastAsia="ru-RU"/>
        </w:rPr>
        <w:t>ежегодник.</w:t>
      </w:r>
      <w:r w:rsidRPr="0005073B">
        <w:rPr>
          <w:rFonts w:ascii="Times New Roman" w:eastAsia="Times New Roman" w:hAnsi="Times New Roman" w:cs="Times New Roman"/>
          <w:sz w:val="24"/>
          <w:szCs w:val="24"/>
          <w:lang w:eastAsia="ru-RU"/>
        </w:rPr>
        <w:br/>
        <w:t>-</w:t>
      </w:r>
      <w:proofErr w:type="gramEnd"/>
      <w:r w:rsidRPr="0005073B">
        <w:rPr>
          <w:rFonts w:ascii="Times New Roman" w:eastAsia="Times New Roman" w:hAnsi="Times New Roman" w:cs="Times New Roman"/>
          <w:sz w:val="24"/>
          <w:szCs w:val="24"/>
          <w:lang w:eastAsia="ru-RU"/>
        </w:rPr>
        <w:t xml:space="preserve"> М.: Финансы и статистика, 1987. - С. 13, 17, 18.</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Из табл. 2 видно, что валовой общественный продукт в СССР рос устойчиво быстрыми темпами. В 1950 году по сравнению с 1917 годом он вырос в 13 раз при росте численности населения на 9,5%. По сравнению с 1950 г. валовой общественный продукт вырос в 10,5 раза, в то время как численность населения выросла в 1,6 раза. Это позволило увеличить производство валового общественного продукта на душу населения в 6,6 раза.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эти годы СССР быстро наращивал основные показатели развития, приближаясь к аналогичным показателям США. Если в 1960 году национальный доход составил 58% от этого же показателя в США, то в 1987 г. он уже составлял 66%. Разрыв в развитии промышленности сокращался еще быстрее (в 1987 году продукция промышленности СССР составляла 80% продукции США), а по сельскохозяйственной продукции этот показатель был еще выше и составил 85%. Темпы развития российской экономики превышали средние темпы по СССР в целом. Однако темпы роста объема производства в сельском хозяйстве существенно уступали таковым в промышленности, что являлось важной причиной медленного роста благосостояния, что нашло отражение в замедленном росте потребления продуктов питания</w:t>
      </w:r>
      <w:hyperlink r:id="rId5" w:anchor="1" w:history="1">
        <w:r w:rsidRPr="0005073B">
          <w:rPr>
            <w:rFonts w:ascii="Times New Roman" w:eastAsia="Times New Roman" w:hAnsi="Times New Roman" w:cs="Times New Roman"/>
            <w:color w:val="0000FF"/>
            <w:sz w:val="24"/>
            <w:szCs w:val="24"/>
            <w:u w:val="single"/>
            <w:vertAlign w:val="superscript"/>
            <w:lang w:eastAsia="ru-RU"/>
          </w:rPr>
          <w:t>1</w:t>
        </w:r>
      </w:hyperlink>
      <w:r w:rsidRPr="0005073B">
        <w:rPr>
          <w:rFonts w:ascii="Times New Roman" w:eastAsia="Times New Roman" w:hAnsi="Times New Roman" w:cs="Times New Roman"/>
          <w:sz w:val="24"/>
          <w:szCs w:val="24"/>
          <w:lang w:eastAsia="ru-RU"/>
        </w:rPr>
        <w:t>.</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В последующие годы произошло замедление темпов роста ВВП на душу населения, и в 1991-1992 гг. он составил 33,6 и 26,6% от уровня США соответственно. В 1996 г. ВВП на душу населения составил в России 2,78 тыс. </w:t>
      </w:r>
      <w:proofErr w:type="gramStart"/>
      <w:r w:rsidRPr="0005073B">
        <w:rPr>
          <w:rFonts w:ascii="Times New Roman" w:eastAsia="Times New Roman" w:hAnsi="Times New Roman" w:cs="Times New Roman"/>
          <w:sz w:val="24"/>
          <w:szCs w:val="24"/>
          <w:lang w:eastAsia="ru-RU"/>
        </w:rPr>
        <w:t>дол.,</w:t>
      </w:r>
      <w:proofErr w:type="gramEnd"/>
      <w:r w:rsidRPr="0005073B">
        <w:rPr>
          <w:rFonts w:ascii="Times New Roman" w:eastAsia="Times New Roman" w:hAnsi="Times New Roman" w:cs="Times New Roman"/>
          <w:sz w:val="24"/>
          <w:szCs w:val="24"/>
          <w:lang w:eastAsia="ru-RU"/>
        </w:rPr>
        <w:t xml:space="preserve"> что в 10 раз ниже, чем в США, в 11 раз - чем в Германии, в 15 раз - чем в Японии. В развитии промышленности в дореформенные годы обращает на себя внимание замедленное развитие пищевой промышленности по сравнению со </w:t>
      </w:r>
      <w:proofErr w:type="spellStart"/>
      <w:r w:rsidRPr="0005073B">
        <w:rPr>
          <w:rFonts w:ascii="Times New Roman" w:eastAsia="Times New Roman" w:hAnsi="Times New Roman" w:cs="Times New Roman"/>
          <w:sz w:val="24"/>
          <w:szCs w:val="24"/>
          <w:lang w:eastAsia="ru-RU"/>
        </w:rPr>
        <w:t>среднепромышленными</w:t>
      </w:r>
      <w:proofErr w:type="spellEnd"/>
      <w:r w:rsidRPr="0005073B">
        <w:rPr>
          <w:rFonts w:ascii="Times New Roman" w:eastAsia="Times New Roman" w:hAnsi="Times New Roman" w:cs="Times New Roman"/>
          <w:sz w:val="24"/>
          <w:szCs w:val="24"/>
          <w:lang w:eastAsia="ru-RU"/>
        </w:rPr>
        <w:t xml:space="preserve"> показателями, что подтверждается данными табл. 3. Таким образом, темпы роста объемов производства в пищевой промышленности на протяжении десятков лет устойчиво отставали от </w:t>
      </w:r>
      <w:proofErr w:type="spellStart"/>
      <w:r w:rsidRPr="0005073B">
        <w:rPr>
          <w:rFonts w:ascii="Times New Roman" w:eastAsia="Times New Roman" w:hAnsi="Times New Roman" w:cs="Times New Roman"/>
          <w:sz w:val="24"/>
          <w:szCs w:val="24"/>
          <w:lang w:eastAsia="ru-RU"/>
        </w:rPr>
        <w:t>среднепромышленных</w:t>
      </w:r>
      <w:proofErr w:type="spellEnd"/>
      <w:r w:rsidRPr="0005073B">
        <w:rPr>
          <w:rFonts w:ascii="Times New Roman" w:eastAsia="Times New Roman" w:hAnsi="Times New Roman" w:cs="Times New Roman"/>
          <w:sz w:val="24"/>
          <w:szCs w:val="24"/>
          <w:lang w:eastAsia="ru-RU"/>
        </w:rPr>
        <w:t xml:space="preserve"> в 2,2 - 3,2 раза.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Таблица 3.</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Рост объемов производства продукции в 1960 - 1986 гг.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5"/>
        <w:gridCol w:w="570"/>
        <w:gridCol w:w="555"/>
        <w:gridCol w:w="540"/>
        <w:gridCol w:w="540"/>
        <w:gridCol w:w="555"/>
      </w:tblGrid>
      <w:tr w:rsidR="0005073B" w:rsidRPr="0005073B" w:rsidTr="000507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Показатели</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Годы</w:t>
            </w:r>
          </w:p>
        </w:tc>
      </w:tr>
      <w:tr w:rsidR="0005073B" w:rsidRPr="0005073B" w:rsidTr="0005073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1940</w:t>
            </w:r>
          </w:p>
        </w:tc>
        <w:tc>
          <w:tcPr>
            <w:tcW w:w="5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1960</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1970</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1980</w:t>
            </w:r>
          </w:p>
        </w:tc>
        <w:tc>
          <w:tcPr>
            <w:tcW w:w="5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1986</w:t>
            </w:r>
          </w:p>
        </w:tc>
      </w:tr>
      <w:tr w:rsidR="0005073B" w:rsidRPr="0005073B" w:rsidTr="0005073B">
        <w:trPr>
          <w:tblCellSpacing w:w="0" w:type="dxa"/>
        </w:trPr>
        <w:tc>
          <w:tcPr>
            <w:tcW w:w="33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Вся промышленность</w:t>
            </w:r>
          </w:p>
        </w:tc>
        <w:tc>
          <w:tcPr>
            <w:tcW w:w="57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w:t>
            </w:r>
          </w:p>
        </w:tc>
        <w:tc>
          <w:tcPr>
            <w:tcW w:w="5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5,2</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12</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21</w:t>
            </w:r>
          </w:p>
        </w:tc>
        <w:tc>
          <w:tcPr>
            <w:tcW w:w="5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26</w:t>
            </w:r>
          </w:p>
        </w:tc>
      </w:tr>
      <w:tr w:rsidR="0005073B" w:rsidRPr="0005073B" w:rsidTr="0005073B">
        <w:trPr>
          <w:tblCellSpacing w:w="0" w:type="dxa"/>
        </w:trPr>
        <w:tc>
          <w:tcPr>
            <w:tcW w:w="33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Пищевая промышленность</w:t>
            </w:r>
          </w:p>
        </w:tc>
        <w:tc>
          <w:tcPr>
            <w:tcW w:w="57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w:t>
            </w:r>
          </w:p>
        </w:tc>
        <w:tc>
          <w:tcPr>
            <w:tcW w:w="5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2,4</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4,7</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6,5</w:t>
            </w:r>
          </w:p>
        </w:tc>
        <w:tc>
          <w:tcPr>
            <w:tcW w:w="5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8,1</w:t>
            </w:r>
          </w:p>
        </w:tc>
      </w:tr>
    </w:tbl>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ходе реформирования российской экономики темпы снижения объемов производства продукции пищевой промышленности были ниже, чем в среднем по промышленности (см. табл. 4).</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Таблица 4.</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Индексы производства продукции (1990 г. = 100)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0"/>
        <w:gridCol w:w="540"/>
        <w:gridCol w:w="540"/>
        <w:gridCol w:w="540"/>
        <w:gridCol w:w="540"/>
        <w:gridCol w:w="540"/>
        <w:gridCol w:w="540"/>
        <w:gridCol w:w="540"/>
      </w:tblGrid>
      <w:tr w:rsidR="0005073B" w:rsidRPr="0005073B" w:rsidTr="0005073B">
        <w:trPr>
          <w:trHeight w:val="330"/>
          <w:tblCellSpacing w:w="0" w:type="dxa"/>
        </w:trPr>
        <w:tc>
          <w:tcPr>
            <w:tcW w:w="3150" w:type="dxa"/>
            <w:vMerge w:val="restart"/>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Показатели</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Годы </w:t>
            </w:r>
          </w:p>
        </w:tc>
      </w:tr>
      <w:tr w:rsidR="0005073B" w:rsidRPr="0005073B" w:rsidTr="0005073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1992</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1993</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1994</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1995</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1996</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1997</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1998</w:t>
            </w:r>
          </w:p>
        </w:tc>
      </w:tr>
      <w:tr w:rsidR="0005073B" w:rsidRPr="0005073B" w:rsidTr="0005073B">
        <w:trPr>
          <w:tblCellSpacing w:w="0" w:type="dxa"/>
        </w:trPr>
        <w:tc>
          <w:tcPr>
            <w:tcW w:w="315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Вся промышленность</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75</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65</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51</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50</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48</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49</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46</w:t>
            </w:r>
          </w:p>
        </w:tc>
      </w:tr>
      <w:tr w:rsidR="0005073B" w:rsidRPr="0005073B" w:rsidTr="0005073B">
        <w:trPr>
          <w:tblCellSpacing w:w="0" w:type="dxa"/>
        </w:trPr>
        <w:tc>
          <w:tcPr>
            <w:tcW w:w="315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Пищевая промышленность</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76</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69</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57</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52</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50</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50</w:t>
            </w:r>
          </w:p>
        </w:tc>
        <w:tc>
          <w:tcPr>
            <w:tcW w:w="36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49</w:t>
            </w:r>
          </w:p>
        </w:tc>
      </w:tr>
    </w:tbl>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Это свидетельствует о положительном изменении структуры производства. И хотя темпы его незначительны, налицо устойчивая тенденция (доля пищевой промышленности в структуре производства по основным отраслям возросла с 11,4% в 1992 г. до 12,4% в 1998 г.)</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Изложенное свидетельствует о том, что развитие российской экономики в дореформенные годы, хотя и проходило достаточно высокими темпами, по структуре экономики далеко не соответствовало требованиям максимального удовлетворения потребностей населения в товарах и услугах. Это привело к замедлению темпов роста благосостояния населения, объективной необходимости реформирования экономики. Однако слабая научная обоснованность основных направлений реформы привела к обвальному спаду объемов производства товаров и услуг, глубокому экономическому кризису.</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Даже в годы Великой Отечественной войны 1941-1945 гг. спад производства имел место до 1942 г., а с 1943 г. начался рост всех показателей. При этом спад в промышленном производстве составил менее 25%, в сельском хозяйстве - более 65%, а капиталовложения не опускались ниже уровня 52%. Таким образом, если в развитии дореформенной экономики России имели место отдельные недостатки при положительной в основном динамике показателей, то результаты реформ в целом свидетельствуют об устойчивых негативных тенденциях в развитии, которые до последнего времени преодолеть не удается. Как уже отмечалось, важными показателями уровня благосостояния населения являются те из них, которые характеризуют структуру потребления.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Очевидно, что для каждой страны на разных этапах ее развития, определяемых уровнем развития производительных сил, свойственна своя оптимальная структура потребления. Покажем это на примере потребления продовольственных товаров. Если перед началом реформ потребление большинства из них было достаточно близким к рациональному (по некоторым оценкам фактическое потребление продовольствия составляло 75-80% рационального), то в последние годы по основным продуктам питания оно существенно снизилось (конечно, речь идет о среднедушевом потреблении, так как в условиях быстрого расслоения населения часть его имеет возможность полностью удовлетворить самые изысканные потребности). В этих условиях, естественно, первостепенной задачей является быстрое наращивание объемов производства большинства продуктов питания. Вместе с тем, было бы неправильным пропорциональное, равномерное наращивание производства по всем видам продовольственных товаров. Целесообразно учитывать те изменения в структуре потребления продовольственных товаров, которые имеют место в высокоразвитых странах.</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Покажем это на примере изменений в структуре питания населения США в период с 1970 по 1996 гг. Потребление мяса всех видов несколько увеличилось и составило 79,2 кг в 1993 г. против 75 кг. в 1970 г. (по российским требованиям рациональное потребление мяса находится в пределах 90 кг; по-видимому, в прогрессивной структуре питания его потребление может быть меньше). При этом потребление говядины снизилось на 15%, свинины - осталось примерно на неизменном уровне, а птицы выросло на 86% и теперь составляет более трети общего потребления мяса. Потребление рыбы и морепродуктов возросло на 28%. При этом потребление свежей и замороженной рыбы и морепродуктов составило 150%, консервированной продукции возросло на 11%, а копченых видов - снизилось на 40%. Потребление яиц, животных жиров и масел, рафинированного сахара, цельного молока, кофе, дистиллированного спирта уменьшилось и составило, </w:t>
      </w:r>
      <w:r w:rsidRPr="0005073B">
        <w:rPr>
          <w:rFonts w:ascii="Times New Roman" w:eastAsia="Times New Roman" w:hAnsi="Times New Roman" w:cs="Times New Roman"/>
          <w:sz w:val="24"/>
          <w:szCs w:val="24"/>
          <w:lang w:eastAsia="ru-RU"/>
        </w:rPr>
        <w:lastRenderedPageBreak/>
        <w:t>соответственно, 77, 72, 63, 37, 78 и 72</w:t>
      </w:r>
      <w:proofErr w:type="gramStart"/>
      <w:r w:rsidRPr="0005073B">
        <w:rPr>
          <w:rFonts w:ascii="Times New Roman" w:eastAsia="Times New Roman" w:hAnsi="Times New Roman" w:cs="Times New Roman"/>
          <w:sz w:val="24"/>
          <w:szCs w:val="24"/>
          <w:lang w:eastAsia="ru-RU"/>
        </w:rPr>
        <w:t>%.В</w:t>
      </w:r>
      <w:proofErr w:type="gramEnd"/>
      <w:r w:rsidRPr="0005073B">
        <w:rPr>
          <w:rFonts w:ascii="Times New Roman" w:eastAsia="Times New Roman" w:hAnsi="Times New Roman" w:cs="Times New Roman"/>
          <w:sz w:val="24"/>
          <w:szCs w:val="24"/>
          <w:lang w:eastAsia="ru-RU"/>
        </w:rPr>
        <w:t xml:space="preserve"> то же время существенно увеличилось потребление сыра (229%), кукурузных подсластителей (410%), молока пониженной жирности и обезжиренного (267%), прохладительных напитков (192%).</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Отметим, что по подавляющему большинству видов продовольствия имеет место увеличение потребления, что, по-видимому, свидетельствует о недостаточно обоснованной структуре производства: самая богатая в мире страна, наверное, уже давно способна обеспечить потребление населения на уровне рационального, за пределами которого его рост </w:t>
      </w:r>
      <w:proofErr w:type="spellStart"/>
      <w:r w:rsidRPr="0005073B">
        <w:rPr>
          <w:rFonts w:ascii="Times New Roman" w:eastAsia="Times New Roman" w:hAnsi="Times New Roman" w:cs="Times New Roman"/>
          <w:sz w:val="24"/>
          <w:szCs w:val="24"/>
          <w:lang w:eastAsia="ru-RU"/>
        </w:rPr>
        <w:t>неоправдан</w:t>
      </w:r>
      <w:proofErr w:type="spellEnd"/>
      <w:r w:rsidRPr="0005073B">
        <w:rPr>
          <w:rFonts w:ascii="Times New Roman" w:eastAsia="Times New Roman" w:hAnsi="Times New Roman" w:cs="Times New Roman"/>
          <w:sz w:val="24"/>
          <w:szCs w:val="24"/>
          <w:lang w:eastAsia="ru-RU"/>
        </w:rPr>
        <w:t>, а должна меняться лишь структура потребления. Изменения в структуре потребления различных видов продовольствия обусловлены повышенным интересом американцев к состоянию здоровья. Так, известно, что рыба и морепродукты характеризуются пониженной калорийностью и жирностью при высоком содержании белка и других питательных веществ, ненасыщенных жирных кислот, способствующих понижению содержания холестерина в крови.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Активная борьба с излишним весом, которую ведут многие американцы, привела к удвоению за 80-е годы потребления низкокалорийных прохладительных напитков и светлого пива. Наряду с этим возрастает роль государства в формировании потребительского спроса на продукты питания, осуществляемого в соответствии с принятым в 1994 г. Конгрессом Законом "О здоровой пище для здоровых американцев". На реализацию продовольственных программ США, касающихся вопросов рационализации норм питания, ежегодно расходуется около 40 млрд. дол. бюджетных средств, включая многие миллионы на образовательные и пропагандистские цели.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Такая деятельность государства оказывает огромное влияние на уровень, динамику, структуру потребления продовольствия и выглядит особо привлекательной на фоне практического самоустранения государства в решении этих вопросов в России. Нет сомнений в том, что обоснование, разработка названных проблем в России будут способствовать оптимизации стратегии дальнейшего развития отечественной экономики.</w:t>
      </w: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lastRenderedPageBreak/>
        <w:t>КОНЦЕПЦИЯ АНАЛИЗА И АУДИТА ФИНАНСОВОЙ ОТЧЕТНОСТИ НА СОВРЕМЕННОМ ЭТАПЕ</w:t>
      </w: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Г.Р. </w:t>
      </w:r>
      <w:proofErr w:type="spellStart"/>
      <w:r w:rsidRPr="0005073B">
        <w:rPr>
          <w:rFonts w:ascii="Times New Roman" w:eastAsia="Times New Roman" w:hAnsi="Times New Roman" w:cs="Times New Roman"/>
          <w:b/>
          <w:bCs/>
          <w:sz w:val="24"/>
          <w:szCs w:val="24"/>
          <w:lang w:eastAsia="ru-RU"/>
        </w:rPr>
        <w:t>Хамидуллина</w:t>
      </w:r>
      <w:proofErr w:type="spellEnd"/>
      <w:r w:rsidRPr="0005073B">
        <w:rPr>
          <w:rFonts w:ascii="Times New Roman" w:eastAsia="Times New Roman" w:hAnsi="Times New Roman" w:cs="Times New Roman"/>
          <w:b/>
          <w:bCs/>
          <w:sz w:val="24"/>
          <w:szCs w:val="24"/>
          <w:lang w:eastAsia="ru-RU"/>
        </w:rPr>
        <w:t xml:space="preserve">, к.э.н., доцент </w:t>
      </w: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настоящее время существует три способа трансформации российской отчетности в соответствии с GAAP:</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I СПОСОБ:</w:t>
      </w:r>
      <w:r w:rsidRPr="0005073B">
        <w:rPr>
          <w:rFonts w:ascii="Times New Roman" w:eastAsia="Times New Roman" w:hAnsi="Times New Roman" w:cs="Times New Roman"/>
          <w:sz w:val="24"/>
          <w:szCs w:val="24"/>
          <w:lang w:eastAsia="ru-RU"/>
        </w:rPr>
        <w:t xml:space="preserve"> Разрабатываются отраслевые коэффициенты для пересчета статей российской бухгалтерской отчетности в систему GAAP. При разработке коэффициентов учитываются: срок функционирования предприятия, курсы пересчета валют, отраслевые и географические особенности предприятия и т.п. Остаток по каждой статье российской бухгалтерской отчетности умножается на соответствующий коэффициент, таким образом отчетность трансформируется в соответствии с GAAP.</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Недостаток этого способа:</w:t>
      </w:r>
    </w:p>
    <w:p w:rsidR="0005073B" w:rsidRPr="0005073B" w:rsidRDefault="0005073B" w:rsidP="000507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коэффициенты разрабатываются на основе данных лишь некоторых предприятий из группы аналогичных, причем условия работы этих предприятий могут сильно отличаться от средних по группе; </w:t>
      </w:r>
    </w:p>
    <w:p w:rsidR="0005073B" w:rsidRPr="0005073B" w:rsidRDefault="0005073B" w:rsidP="000507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недостаточная объективность при разработке коэффициентов.</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II СПОСОБ:</w:t>
      </w:r>
      <w:r w:rsidRPr="0005073B">
        <w:rPr>
          <w:rFonts w:ascii="Times New Roman" w:eastAsia="Times New Roman" w:hAnsi="Times New Roman" w:cs="Times New Roman"/>
          <w:sz w:val="24"/>
          <w:szCs w:val="24"/>
          <w:lang w:eastAsia="ru-RU"/>
        </w:rPr>
        <w:t xml:space="preserve"> Трансформация российской бухгалтерской отчетности с помощью специальных процедур.</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Все хозяйственные операции с момента начала деятельности (или другой даты) повторно отражаются на счетах бухгалтерского учета в соответствии с GAAP.</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 xml:space="preserve">Проведение трансформации бухгалтерской отчетности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Проведение трансформации включает несколько этапов, каждый из которых характеризуется определенными целями и источниками информации:</w:t>
      </w:r>
    </w:p>
    <w:p w:rsidR="0005073B" w:rsidRPr="0005073B" w:rsidRDefault="0005073B" w:rsidP="000507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Первичное обследование предприятия.</w:t>
      </w:r>
    </w:p>
    <w:p w:rsidR="0005073B" w:rsidRPr="0005073B" w:rsidRDefault="0005073B" w:rsidP="000507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Подготовка бухгалтерской отчетности по российским стандартам.</w:t>
      </w:r>
    </w:p>
    <w:p w:rsidR="0005073B" w:rsidRPr="0005073B" w:rsidRDefault="0005073B" w:rsidP="000507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Проверка соответствия отражения активов и пассивов в Российской отчетности системе GAAP. Внесение соответствующих корректировок в Бухгалтерский баланс и Отчет о прибылях и убытках.</w:t>
      </w:r>
    </w:p>
    <w:p w:rsidR="0005073B" w:rsidRPr="0005073B" w:rsidRDefault="0005073B" w:rsidP="000507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Проверка на соответствие порядка отражения доходов и расходов с внесением соответствующих исправлений в Отчет о прибылях и убытках. </w:t>
      </w:r>
    </w:p>
    <w:p w:rsidR="0005073B" w:rsidRPr="0005073B" w:rsidRDefault="0005073B" w:rsidP="000507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Составление сводной бухгалтерской отчетности согласно GAAP в случае, если имеются дочерние предприятия.</w:t>
      </w:r>
    </w:p>
    <w:p w:rsidR="0005073B" w:rsidRPr="0005073B" w:rsidRDefault="0005073B" w:rsidP="000507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Пересчет трансформированной отчетности в доллары США. </w:t>
      </w:r>
    </w:p>
    <w:p w:rsidR="0005073B" w:rsidRPr="0005073B" w:rsidRDefault="0005073B" w:rsidP="000507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Финансовый анализ данных трансформированной отчетности.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Все действия, проводимые с элементами исходной российской бухгалтерской отчетности, должны быть описаны в специальной пояснительной записке. Рассмотрим этапы проведения трансформации подробнее.</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I ЭТАП.</w:t>
      </w:r>
      <w:r w:rsidRPr="0005073B">
        <w:rPr>
          <w:rFonts w:ascii="Times New Roman" w:eastAsia="Times New Roman" w:hAnsi="Times New Roman" w:cs="Times New Roman"/>
          <w:sz w:val="24"/>
          <w:szCs w:val="24"/>
          <w:lang w:eastAsia="ru-RU"/>
        </w:rPr>
        <w:t xml:space="preserve"> Первичное обследование предприятия - необходимо ответить на следующие вопросы:</w:t>
      </w:r>
    </w:p>
    <w:p w:rsidR="0005073B" w:rsidRPr="0005073B" w:rsidRDefault="0005073B" w:rsidP="0005073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возможно ли в принципе проведение трансформации, исходя из особенностей данного конкретного предприятия; </w:t>
      </w:r>
    </w:p>
    <w:p w:rsidR="0005073B" w:rsidRPr="0005073B" w:rsidRDefault="0005073B" w:rsidP="0005073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не вступит ли информация в трансформированной отчетности в противоречие со здравым смыслом; </w:t>
      </w:r>
    </w:p>
    <w:p w:rsidR="0005073B" w:rsidRPr="0005073B" w:rsidRDefault="0005073B" w:rsidP="0005073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будет ли полученная информация полезна с точки зрения принятия пользователями на ее основе каких - либо решений; o окупятся ли затраты на проведение трансформации;</w:t>
      </w:r>
    </w:p>
    <w:p w:rsidR="0005073B" w:rsidRPr="0005073B" w:rsidRDefault="0005073B" w:rsidP="0005073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имеются ли у данного предприятия дочерние и зависимые предприятия; o каковы структура основных средств и дата ввода в эксплуатацию;</w:t>
      </w:r>
    </w:p>
    <w:p w:rsidR="0005073B" w:rsidRPr="0005073B" w:rsidRDefault="0005073B" w:rsidP="0005073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имеется ли аудиторское заключение, подтверждающее достоверность отчетности, представленной для трансформации. (отсутствие такого заключения ставит под сомнение полезность проведения трансформации).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II ЭТАП.</w:t>
      </w:r>
      <w:r w:rsidRPr="0005073B">
        <w:rPr>
          <w:rFonts w:ascii="Times New Roman" w:eastAsia="Times New Roman" w:hAnsi="Times New Roman" w:cs="Times New Roman"/>
          <w:sz w:val="24"/>
          <w:szCs w:val="24"/>
          <w:lang w:eastAsia="ru-RU"/>
        </w:rPr>
        <w:t xml:space="preserve"> Подготовка бухгалтерской отчетности по российским стандартам. Неучтенные хозяйственные операции, выявленные при обследовании предприятия, следует провести в учете и внести корректировки в бухгалтерскую отчетность.</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III ЭТАП.</w:t>
      </w:r>
      <w:r w:rsidRPr="0005073B">
        <w:rPr>
          <w:rFonts w:ascii="Times New Roman" w:eastAsia="Times New Roman" w:hAnsi="Times New Roman" w:cs="Times New Roman"/>
          <w:sz w:val="24"/>
          <w:szCs w:val="24"/>
          <w:lang w:eastAsia="ru-RU"/>
        </w:rPr>
        <w:t xml:space="preserve"> Проверка соответствия отражения активов и пассивов в российской отчетности системе GAAP. Возможны два основных вида расхождений:</w:t>
      </w:r>
    </w:p>
    <w:p w:rsidR="0005073B" w:rsidRPr="0005073B" w:rsidRDefault="0005073B" w:rsidP="0005073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в отражении активов в российской системе учета и в соответствии с GAAP. </w:t>
      </w:r>
    </w:p>
    <w:p w:rsidR="0005073B" w:rsidRPr="0005073B" w:rsidRDefault="0005073B" w:rsidP="0005073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расхождение в оценке активов; </w:t>
      </w:r>
    </w:p>
    <w:p w:rsidR="0005073B" w:rsidRPr="0005073B" w:rsidRDefault="0005073B" w:rsidP="0005073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расхождения в понятиях.</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Расхождение в оценке активов</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Американская система учета жестко предписывает отражать оборотные активы в отчетности по принципу наименьшей оценки. В российской системе учета большинство таких активов отражается по себестоимости. Уместно произвести инвентаризацию товарно-материальных ценностей по состоянию на дату составления бухгалтерской отчетности. В инвентаризационной ведомости следует указать рыночные цены по тому или иному виду товарно-материальных запасов. Также следует подойти и к оценке дебиторской задолженности. На данном этапе необходимо произвести специальные трансформационные записи. Эти записи остатки по счетам российского бухгалтерского учета не затрагивают, а делаются уже в готовой отчетности.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Выделяются следующие три типа трансформационных записей:</w:t>
      </w:r>
    </w:p>
    <w:p w:rsidR="0005073B" w:rsidRPr="0005073B" w:rsidRDefault="0005073B" w:rsidP="0005073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Записи, затрагивающие остатки по статьям Бухгалтерского баланса и Отчета о прибылях и убытках. Как правило, в российской отчетности остатки по счетам актива Бухгалтерского баланса завышаются по сравнению с американской системой учета. Кроме того, в России не получила должного развития практика создания резервов под обесценение активов. Например, по результатам инвентаризации выявлено снижение рыночной стоимости товара, не пользующегося спросом. При проведении трансформации на сумму такого снижения следует сделать запись: </w:t>
      </w:r>
      <w:proofErr w:type="spellStart"/>
      <w:r w:rsidRPr="0005073B">
        <w:rPr>
          <w:rFonts w:ascii="Times New Roman" w:eastAsia="Times New Roman" w:hAnsi="Times New Roman" w:cs="Times New Roman"/>
          <w:sz w:val="24"/>
          <w:szCs w:val="24"/>
          <w:lang w:eastAsia="ru-RU"/>
        </w:rPr>
        <w:t>Дт</w:t>
      </w:r>
      <w:proofErr w:type="spellEnd"/>
      <w:r w:rsidRPr="0005073B">
        <w:rPr>
          <w:rFonts w:ascii="Times New Roman" w:eastAsia="Times New Roman" w:hAnsi="Times New Roman" w:cs="Times New Roman"/>
          <w:sz w:val="24"/>
          <w:szCs w:val="24"/>
          <w:lang w:eastAsia="ru-RU"/>
        </w:rPr>
        <w:t xml:space="preserve"> счета "Прибыли и убытки" </w:t>
      </w:r>
      <w:proofErr w:type="spellStart"/>
      <w:r w:rsidRPr="0005073B">
        <w:rPr>
          <w:rFonts w:ascii="Times New Roman" w:eastAsia="Times New Roman" w:hAnsi="Times New Roman" w:cs="Times New Roman"/>
          <w:sz w:val="24"/>
          <w:szCs w:val="24"/>
          <w:lang w:eastAsia="ru-RU"/>
        </w:rPr>
        <w:t>субсчет</w:t>
      </w:r>
      <w:proofErr w:type="spellEnd"/>
      <w:r w:rsidRPr="0005073B">
        <w:rPr>
          <w:rFonts w:ascii="Times New Roman" w:eastAsia="Times New Roman" w:hAnsi="Times New Roman" w:cs="Times New Roman"/>
          <w:sz w:val="24"/>
          <w:szCs w:val="24"/>
          <w:lang w:eastAsia="ru-RU"/>
        </w:rPr>
        <w:t xml:space="preserve"> "Убытки из-за обесценения товара". </w:t>
      </w:r>
      <w:proofErr w:type="spellStart"/>
      <w:r w:rsidRPr="0005073B">
        <w:rPr>
          <w:rFonts w:ascii="Times New Roman" w:eastAsia="Times New Roman" w:hAnsi="Times New Roman" w:cs="Times New Roman"/>
          <w:sz w:val="24"/>
          <w:szCs w:val="24"/>
          <w:lang w:eastAsia="ru-RU"/>
        </w:rPr>
        <w:t>Кт</w:t>
      </w:r>
      <w:proofErr w:type="spellEnd"/>
      <w:r w:rsidRPr="0005073B">
        <w:rPr>
          <w:rFonts w:ascii="Times New Roman" w:eastAsia="Times New Roman" w:hAnsi="Times New Roman" w:cs="Times New Roman"/>
          <w:sz w:val="24"/>
          <w:szCs w:val="24"/>
          <w:lang w:eastAsia="ru-RU"/>
        </w:rPr>
        <w:t xml:space="preserve"> счета "Товарно-материальные запасы".</w:t>
      </w:r>
    </w:p>
    <w:p w:rsidR="0005073B" w:rsidRPr="0005073B" w:rsidRDefault="0005073B" w:rsidP="0005073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Записи, изменяющие структуру Бухгалтерского баланса. Например, согласно американской практике, акционерный капитал должен быть уменьшен в отчетности на стоимость акций, выкупленных у акционеров. В российской системе учета такое уменьшение производится по истечении года с момента выкупа. Поэтому при составлении отчетности в соответствии с GAAP следует сделать запись второго типа: </w:t>
      </w:r>
      <w:proofErr w:type="spellStart"/>
      <w:r w:rsidRPr="0005073B">
        <w:rPr>
          <w:rFonts w:ascii="Times New Roman" w:eastAsia="Times New Roman" w:hAnsi="Times New Roman" w:cs="Times New Roman"/>
          <w:sz w:val="24"/>
          <w:szCs w:val="24"/>
          <w:lang w:eastAsia="ru-RU"/>
        </w:rPr>
        <w:t>Дт</w:t>
      </w:r>
      <w:proofErr w:type="spellEnd"/>
      <w:r w:rsidRPr="0005073B">
        <w:rPr>
          <w:rFonts w:ascii="Times New Roman" w:eastAsia="Times New Roman" w:hAnsi="Times New Roman" w:cs="Times New Roman"/>
          <w:sz w:val="24"/>
          <w:szCs w:val="24"/>
          <w:lang w:eastAsia="ru-RU"/>
        </w:rPr>
        <w:t xml:space="preserve"> счета "Акционерный капитал". </w:t>
      </w:r>
      <w:proofErr w:type="spellStart"/>
      <w:r w:rsidRPr="0005073B">
        <w:rPr>
          <w:rFonts w:ascii="Times New Roman" w:eastAsia="Times New Roman" w:hAnsi="Times New Roman" w:cs="Times New Roman"/>
          <w:sz w:val="24"/>
          <w:szCs w:val="24"/>
          <w:lang w:eastAsia="ru-RU"/>
        </w:rPr>
        <w:t>Кт</w:t>
      </w:r>
      <w:proofErr w:type="spellEnd"/>
      <w:r w:rsidRPr="0005073B">
        <w:rPr>
          <w:rFonts w:ascii="Times New Roman" w:eastAsia="Times New Roman" w:hAnsi="Times New Roman" w:cs="Times New Roman"/>
          <w:sz w:val="24"/>
          <w:szCs w:val="24"/>
          <w:lang w:eastAsia="ru-RU"/>
        </w:rPr>
        <w:t xml:space="preserve"> счета "Выкупленные собственные акции" на всю сумму остатка по счету 56 "Денежные документы" </w:t>
      </w:r>
      <w:proofErr w:type="spellStart"/>
      <w:r w:rsidRPr="0005073B">
        <w:rPr>
          <w:rFonts w:ascii="Times New Roman" w:eastAsia="Times New Roman" w:hAnsi="Times New Roman" w:cs="Times New Roman"/>
          <w:sz w:val="24"/>
          <w:szCs w:val="24"/>
          <w:lang w:eastAsia="ru-RU"/>
        </w:rPr>
        <w:t>субсчет</w:t>
      </w:r>
      <w:proofErr w:type="spellEnd"/>
      <w:r w:rsidRPr="0005073B">
        <w:rPr>
          <w:rFonts w:ascii="Times New Roman" w:eastAsia="Times New Roman" w:hAnsi="Times New Roman" w:cs="Times New Roman"/>
          <w:sz w:val="24"/>
          <w:szCs w:val="24"/>
          <w:lang w:eastAsia="ru-RU"/>
        </w:rPr>
        <w:t xml:space="preserve"> "Собственные акции", выкупленные у акционеров независимо от срока, прошедшего с момента выкупа. </w:t>
      </w:r>
    </w:p>
    <w:p w:rsidR="0005073B" w:rsidRPr="0005073B" w:rsidRDefault="0005073B" w:rsidP="0005073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Записи, изменяющие структуру Отчета о прибылях и убытках. Возможны такие расхождения в оценке активов, которые связаны с различными подходами к определению учетной стоимости активов, полученных в результате не денежных сделок. По таким активам следует рассмотреть всю первичную документацию, подтверждающую их приобретение или получение, привлечь экспертов-оценщиков для подтверждения рыночных цен. Возможно, по результатам такой проверки будет необходимо уменьшить оценку полученных активов соответствующей трансформационной записью.</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u w:val="single"/>
          <w:lang w:eastAsia="ru-RU"/>
        </w:rPr>
        <w:t>ПРИМЕР:</w:t>
      </w:r>
      <w:r w:rsidRPr="0005073B">
        <w:rPr>
          <w:rFonts w:ascii="Times New Roman" w:eastAsia="Times New Roman" w:hAnsi="Times New Roman" w:cs="Times New Roman"/>
          <w:sz w:val="24"/>
          <w:szCs w:val="24"/>
          <w:lang w:eastAsia="ru-RU"/>
        </w:rPr>
        <w:t xml:space="preserve"> В июле 1998 года учредитель внес в качестве вклада в уставный капитал предприятия новый компьютер, который был </w:t>
      </w:r>
      <w:proofErr w:type="gramStart"/>
      <w:r w:rsidRPr="0005073B">
        <w:rPr>
          <w:rFonts w:ascii="Times New Roman" w:eastAsia="Times New Roman" w:hAnsi="Times New Roman" w:cs="Times New Roman"/>
          <w:sz w:val="24"/>
          <w:szCs w:val="24"/>
          <w:lang w:eastAsia="ru-RU"/>
        </w:rPr>
        <w:t>оприходован по договорной оценке</w:t>
      </w:r>
      <w:proofErr w:type="gramEnd"/>
      <w:r w:rsidRPr="0005073B">
        <w:rPr>
          <w:rFonts w:ascii="Times New Roman" w:eastAsia="Times New Roman" w:hAnsi="Times New Roman" w:cs="Times New Roman"/>
          <w:sz w:val="24"/>
          <w:szCs w:val="24"/>
          <w:lang w:eastAsia="ru-RU"/>
        </w:rPr>
        <w:t xml:space="preserve"> в 7 тыс. руб. В учете была сделана запись:</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Дт</w:t>
      </w:r>
      <w:proofErr w:type="spellEnd"/>
      <w:r w:rsidRPr="0005073B">
        <w:rPr>
          <w:rFonts w:ascii="Times New Roman" w:eastAsia="Times New Roman" w:hAnsi="Times New Roman" w:cs="Times New Roman"/>
          <w:sz w:val="24"/>
          <w:szCs w:val="24"/>
          <w:lang w:eastAsia="ru-RU"/>
        </w:rPr>
        <w:t xml:space="preserve"> 01 </w:t>
      </w:r>
      <w:proofErr w:type="spellStart"/>
      <w:r w:rsidRPr="0005073B">
        <w:rPr>
          <w:rFonts w:ascii="Times New Roman" w:eastAsia="Times New Roman" w:hAnsi="Times New Roman" w:cs="Times New Roman"/>
          <w:sz w:val="24"/>
          <w:szCs w:val="24"/>
          <w:lang w:eastAsia="ru-RU"/>
        </w:rPr>
        <w:t>Кт</w:t>
      </w:r>
      <w:proofErr w:type="spellEnd"/>
      <w:r w:rsidRPr="0005073B">
        <w:rPr>
          <w:rFonts w:ascii="Times New Roman" w:eastAsia="Times New Roman" w:hAnsi="Times New Roman" w:cs="Times New Roman"/>
          <w:sz w:val="24"/>
          <w:szCs w:val="24"/>
          <w:lang w:eastAsia="ru-RU"/>
        </w:rPr>
        <w:t xml:space="preserve"> 75 7000 руб.</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А установлено, что рыночная стоимость подобного компьютера равна 5000 руб. При проведении трансформации отчетности следует уменьшить стоимость основного средства на 2000 руб. На эту же сумму следует уменьшить размер оплаченного капитала, а также сделать трансформационную проводку:</w:t>
      </w:r>
    </w:p>
    <w:p w:rsidR="0005073B" w:rsidRPr="0005073B" w:rsidRDefault="0005073B" w:rsidP="0005073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Дт</w:t>
      </w:r>
      <w:proofErr w:type="spellEnd"/>
      <w:r w:rsidRPr="0005073B">
        <w:rPr>
          <w:rFonts w:ascii="Times New Roman" w:eastAsia="Times New Roman" w:hAnsi="Times New Roman" w:cs="Times New Roman"/>
          <w:sz w:val="24"/>
          <w:szCs w:val="24"/>
          <w:lang w:eastAsia="ru-RU"/>
        </w:rPr>
        <w:t xml:space="preserve"> счета "Уставный капитал". </w:t>
      </w:r>
    </w:p>
    <w:p w:rsidR="0005073B" w:rsidRPr="0005073B" w:rsidRDefault="0005073B" w:rsidP="0005073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Кт</w:t>
      </w:r>
      <w:proofErr w:type="spellEnd"/>
      <w:r w:rsidRPr="0005073B">
        <w:rPr>
          <w:rFonts w:ascii="Times New Roman" w:eastAsia="Times New Roman" w:hAnsi="Times New Roman" w:cs="Times New Roman"/>
          <w:sz w:val="24"/>
          <w:szCs w:val="24"/>
          <w:lang w:eastAsia="ru-RU"/>
        </w:rPr>
        <w:t xml:space="preserve"> счета "Остаточная стоимость основных средств" 2000 руб.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Расхождения в понятиях</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Помимо расхождений в оценке активов, следует установить соответствие активов, отраженных в российском балансе активам в отчетности, подготовленной в соответствии с GAAP. Здесь могут возникнуть расхождения в понимании статей актива баланса. Дело в том, что не все статьи актива российского бухгалтерского баланса соответствует американскому понятию "активы, средства".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Отражение пассивов (обязательств)</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Следует выделить ключевые моменты: Кредитовое сальдо по счету 64 "Авансы полученные" не совсем верно отражает сумма фактических обязательств предприятия. При проведении трансформации следует восстановить сумму НДС по неисполненным авансам следующей трансформационной записью:</w:t>
      </w:r>
    </w:p>
    <w:p w:rsidR="0005073B" w:rsidRPr="0005073B" w:rsidRDefault="0005073B" w:rsidP="0005073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Дт</w:t>
      </w:r>
      <w:proofErr w:type="spellEnd"/>
      <w:r w:rsidRPr="0005073B">
        <w:rPr>
          <w:rFonts w:ascii="Times New Roman" w:eastAsia="Times New Roman" w:hAnsi="Times New Roman" w:cs="Times New Roman"/>
          <w:sz w:val="24"/>
          <w:szCs w:val="24"/>
          <w:lang w:eastAsia="ru-RU"/>
        </w:rPr>
        <w:t xml:space="preserve"> счета "</w:t>
      </w:r>
      <w:r w:rsidRPr="0005073B">
        <w:rPr>
          <w:rFonts w:ascii="Times New Roman" w:eastAsia="Times New Roman" w:hAnsi="Times New Roman" w:cs="Times New Roman"/>
          <w:i/>
          <w:iCs/>
          <w:sz w:val="24"/>
          <w:szCs w:val="24"/>
          <w:lang w:eastAsia="ru-RU"/>
        </w:rPr>
        <w:t>Отсроченные налоги</w:t>
      </w:r>
      <w:r w:rsidRPr="0005073B">
        <w:rPr>
          <w:rFonts w:ascii="Times New Roman" w:eastAsia="Times New Roman" w:hAnsi="Times New Roman" w:cs="Times New Roman"/>
          <w:sz w:val="24"/>
          <w:szCs w:val="24"/>
          <w:lang w:eastAsia="ru-RU"/>
        </w:rPr>
        <w:t>".</w:t>
      </w:r>
    </w:p>
    <w:p w:rsidR="0005073B" w:rsidRPr="0005073B" w:rsidRDefault="0005073B" w:rsidP="0005073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Кт</w:t>
      </w:r>
      <w:proofErr w:type="spellEnd"/>
      <w:r w:rsidRPr="0005073B">
        <w:rPr>
          <w:rFonts w:ascii="Times New Roman" w:eastAsia="Times New Roman" w:hAnsi="Times New Roman" w:cs="Times New Roman"/>
          <w:sz w:val="24"/>
          <w:szCs w:val="24"/>
          <w:lang w:eastAsia="ru-RU"/>
        </w:rPr>
        <w:t xml:space="preserve"> счета "</w:t>
      </w:r>
      <w:r w:rsidRPr="0005073B">
        <w:rPr>
          <w:rFonts w:ascii="Times New Roman" w:eastAsia="Times New Roman" w:hAnsi="Times New Roman" w:cs="Times New Roman"/>
          <w:i/>
          <w:iCs/>
          <w:sz w:val="24"/>
          <w:szCs w:val="24"/>
          <w:lang w:eastAsia="ru-RU"/>
        </w:rPr>
        <w:t>Авансы полученные</w:t>
      </w:r>
      <w:r w:rsidRPr="0005073B">
        <w:rPr>
          <w:rFonts w:ascii="Times New Roman" w:eastAsia="Times New Roman" w:hAnsi="Times New Roman" w:cs="Times New Roman"/>
          <w:sz w:val="24"/>
          <w:szCs w:val="24"/>
          <w:lang w:eastAsia="ru-RU"/>
        </w:rPr>
        <w:t xml:space="preserve">". </w:t>
      </w:r>
    </w:p>
    <w:p w:rsidR="0005073B" w:rsidRPr="0005073B" w:rsidRDefault="0005073B" w:rsidP="0005073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НДС, уплачиваемый с авансовых платежей, вполне соответствует американскому понятию "</w:t>
      </w:r>
      <w:r w:rsidRPr="0005073B">
        <w:rPr>
          <w:rFonts w:ascii="Times New Roman" w:eastAsia="Times New Roman" w:hAnsi="Times New Roman" w:cs="Times New Roman"/>
          <w:i/>
          <w:iCs/>
          <w:sz w:val="24"/>
          <w:szCs w:val="24"/>
          <w:lang w:eastAsia="ru-RU"/>
        </w:rPr>
        <w:t>Отсроченные налоги</w:t>
      </w:r>
      <w:r w:rsidRPr="0005073B">
        <w:rPr>
          <w:rFonts w:ascii="Times New Roman" w:eastAsia="Times New Roman" w:hAnsi="Times New Roman" w:cs="Times New Roman"/>
          <w:sz w:val="24"/>
          <w:szCs w:val="24"/>
          <w:lang w:eastAsia="ru-RU"/>
        </w:rPr>
        <w:t xml:space="preserve">".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соответствии с особенностями американского подхода к учету налогов следует произвести пересчет налога на прибыль так, как если бы он был исчислен "</w:t>
      </w:r>
      <w:r w:rsidRPr="0005073B">
        <w:rPr>
          <w:rFonts w:ascii="Times New Roman" w:eastAsia="Times New Roman" w:hAnsi="Times New Roman" w:cs="Times New Roman"/>
          <w:i/>
          <w:iCs/>
          <w:sz w:val="24"/>
          <w:szCs w:val="24"/>
          <w:lang w:eastAsia="ru-RU"/>
        </w:rPr>
        <w:t>по отгрузке</w:t>
      </w:r>
      <w:r w:rsidRPr="0005073B">
        <w:rPr>
          <w:rFonts w:ascii="Times New Roman" w:eastAsia="Times New Roman" w:hAnsi="Times New Roman" w:cs="Times New Roman"/>
          <w:sz w:val="24"/>
          <w:szCs w:val="24"/>
          <w:lang w:eastAsia="ru-RU"/>
        </w:rPr>
        <w:t>". Предприятию также следует самостоятельно исчислить все возможные штрафные санкции по просроченным платежам в бюджет и внебюджетные фонды. Большинство российских бухгалтеров подобной операции не производят, а начисляют санкции лишь после акта проверки соответствующими органами. В результате у таких предприятий завышена прибыль отчетного периода. Эта практика не соответствует американской системе учета. В GAAP рекомендовано сразу отражать непредвиденный убыток и связанное с ним событие в случае, если получение такого убытка "</w:t>
      </w:r>
      <w:r w:rsidRPr="0005073B">
        <w:rPr>
          <w:rFonts w:ascii="Times New Roman" w:eastAsia="Times New Roman" w:hAnsi="Times New Roman" w:cs="Times New Roman"/>
          <w:i/>
          <w:iCs/>
          <w:sz w:val="24"/>
          <w:szCs w:val="24"/>
          <w:lang w:eastAsia="ru-RU"/>
        </w:rPr>
        <w:t>вполне вероятно</w:t>
      </w:r>
      <w:r w:rsidRPr="0005073B">
        <w:rPr>
          <w:rFonts w:ascii="Times New Roman" w:eastAsia="Times New Roman" w:hAnsi="Times New Roman" w:cs="Times New Roman"/>
          <w:sz w:val="24"/>
          <w:szCs w:val="24"/>
          <w:lang w:eastAsia="ru-RU"/>
        </w:rPr>
        <w:t>". На сумму предполагаемых санкций следует сделать трансформационную запись:</w:t>
      </w:r>
    </w:p>
    <w:p w:rsidR="0005073B" w:rsidRPr="0005073B" w:rsidRDefault="0005073B" w:rsidP="0005073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Дт</w:t>
      </w:r>
      <w:proofErr w:type="spellEnd"/>
      <w:r w:rsidRPr="0005073B">
        <w:rPr>
          <w:rFonts w:ascii="Times New Roman" w:eastAsia="Times New Roman" w:hAnsi="Times New Roman" w:cs="Times New Roman"/>
          <w:sz w:val="24"/>
          <w:szCs w:val="24"/>
          <w:lang w:eastAsia="ru-RU"/>
        </w:rPr>
        <w:t xml:space="preserve"> счета "</w:t>
      </w:r>
      <w:r w:rsidRPr="0005073B">
        <w:rPr>
          <w:rFonts w:ascii="Times New Roman" w:eastAsia="Times New Roman" w:hAnsi="Times New Roman" w:cs="Times New Roman"/>
          <w:i/>
          <w:iCs/>
          <w:sz w:val="24"/>
          <w:szCs w:val="24"/>
          <w:lang w:eastAsia="ru-RU"/>
        </w:rPr>
        <w:t>Прибыли и убытки</w:t>
      </w:r>
      <w:r w:rsidRPr="0005073B">
        <w:rPr>
          <w:rFonts w:ascii="Times New Roman" w:eastAsia="Times New Roman" w:hAnsi="Times New Roman" w:cs="Times New Roman"/>
          <w:sz w:val="24"/>
          <w:szCs w:val="24"/>
          <w:lang w:eastAsia="ru-RU"/>
        </w:rPr>
        <w:t xml:space="preserve">", </w:t>
      </w:r>
    </w:p>
    <w:p w:rsidR="0005073B" w:rsidRPr="0005073B" w:rsidRDefault="0005073B" w:rsidP="0005073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Cубсчет</w:t>
      </w:r>
      <w:proofErr w:type="spell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Убытки по непредвиденным событиям</w:t>
      </w:r>
      <w:r w:rsidRPr="0005073B">
        <w:rPr>
          <w:rFonts w:ascii="Times New Roman" w:eastAsia="Times New Roman" w:hAnsi="Times New Roman" w:cs="Times New Roman"/>
          <w:sz w:val="24"/>
          <w:szCs w:val="24"/>
          <w:lang w:eastAsia="ru-RU"/>
        </w:rPr>
        <w:t xml:space="preserve">". </w:t>
      </w:r>
    </w:p>
    <w:p w:rsidR="0005073B" w:rsidRPr="0005073B" w:rsidRDefault="0005073B" w:rsidP="0005073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Кт</w:t>
      </w:r>
      <w:proofErr w:type="spellEnd"/>
      <w:r w:rsidRPr="0005073B">
        <w:rPr>
          <w:rFonts w:ascii="Times New Roman" w:eastAsia="Times New Roman" w:hAnsi="Times New Roman" w:cs="Times New Roman"/>
          <w:sz w:val="24"/>
          <w:szCs w:val="24"/>
          <w:lang w:eastAsia="ru-RU"/>
        </w:rPr>
        <w:t xml:space="preserve"> счета "</w:t>
      </w:r>
      <w:r w:rsidRPr="0005073B">
        <w:rPr>
          <w:rFonts w:ascii="Times New Roman" w:eastAsia="Times New Roman" w:hAnsi="Times New Roman" w:cs="Times New Roman"/>
          <w:i/>
          <w:iCs/>
          <w:sz w:val="24"/>
          <w:szCs w:val="24"/>
          <w:lang w:eastAsia="ru-RU"/>
        </w:rPr>
        <w:t>Предполагаемые обязательства перед бюджетом</w:t>
      </w:r>
      <w:r w:rsidRPr="0005073B">
        <w:rPr>
          <w:rFonts w:ascii="Times New Roman" w:eastAsia="Times New Roman" w:hAnsi="Times New Roman" w:cs="Times New Roman"/>
          <w:sz w:val="24"/>
          <w:szCs w:val="24"/>
          <w:lang w:eastAsia="ru-RU"/>
        </w:rPr>
        <w:t xml:space="preserve">".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таблице 1 приведены наиболее часто встречающиеся на практике несоответствия между российской и американской учетными системами при отражении активов в бухгалтерской отчетности.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Таблица 1</w:t>
      </w:r>
    </w:p>
    <w:tbl>
      <w:tblPr>
        <w:tblW w:w="945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7"/>
        <w:gridCol w:w="2104"/>
        <w:gridCol w:w="2346"/>
        <w:gridCol w:w="2973"/>
      </w:tblGrid>
      <w:tr w:rsidR="0005073B" w:rsidRPr="0005073B" w:rsidTr="0005073B">
        <w:trPr>
          <w:tblCellSpacing w:w="0" w:type="dxa"/>
        </w:trPr>
        <w:tc>
          <w:tcPr>
            <w:tcW w:w="21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Номер счета</w:t>
            </w:r>
          </w:p>
        </w:tc>
        <w:tc>
          <w:tcPr>
            <w:tcW w:w="220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Краткое описание актива в российской отчетности</w:t>
            </w:r>
          </w:p>
        </w:tc>
        <w:tc>
          <w:tcPr>
            <w:tcW w:w="252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Причины расхождений с GAAP</w:t>
            </w:r>
          </w:p>
        </w:tc>
        <w:tc>
          <w:tcPr>
            <w:tcW w:w="322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Пути расхождения с GAAP (трансформационная проводка)</w:t>
            </w:r>
          </w:p>
        </w:tc>
      </w:tr>
      <w:tr w:rsidR="0005073B" w:rsidRPr="0005073B" w:rsidTr="0005073B">
        <w:trPr>
          <w:tblCellSpacing w:w="0" w:type="dxa"/>
        </w:trPr>
        <w:tc>
          <w:tcPr>
            <w:tcW w:w="21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Счет 01 </w:t>
            </w:r>
            <w:r w:rsidRPr="0005073B">
              <w:rPr>
                <w:rFonts w:ascii="Times New Roman" w:eastAsia="Times New Roman" w:hAnsi="Times New Roman" w:cs="Times New Roman"/>
                <w:i/>
                <w:iCs/>
                <w:sz w:val="24"/>
                <w:szCs w:val="24"/>
                <w:lang w:eastAsia="ru-RU"/>
              </w:rPr>
              <w:t>«Основные средства»</w:t>
            </w:r>
          </w:p>
        </w:tc>
        <w:tc>
          <w:tcPr>
            <w:tcW w:w="220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отражаются с учетом проведенных переоценок</w:t>
            </w:r>
          </w:p>
        </w:tc>
        <w:tc>
          <w:tcPr>
            <w:tcW w:w="252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долгосрочные активы отражаются по наименьшей стоимости, переоценка не производится</w:t>
            </w:r>
          </w:p>
        </w:tc>
        <w:tc>
          <w:tcPr>
            <w:tcW w:w="322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если переоценка привела к увеличению </w:t>
            </w:r>
            <w:proofErr w:type="gramStart"/>
            <w:r w:rsidRPr="0005073B">
              <w:rPr>
                <w:rFonts w:ascii="Times New Roman" w:eastAsia="Times New Roman" w:hAnsi="Times New Roman" w:cs="Times New Roman"/>
                <w:sz w:val="24"/>
                <w:szCs w:val="24"/>
                <w:lang w:eastAsia="ru-RU"/>
              </w:rPr>
              <w:t>стоимости:</w:t>
            </w:r>
            <w:r w:rsidRPr="0005073B">
              <w:rPr>
                <w:rFonts w:ascii="Times New Roman" w:eastAsia="Times New Roman" w:hAnsi="Times New Roman" w:cs="Times New Roman"/>
                <w:sz w:val="24"/>
                <w:szCs w:val="24"/>
                <w:lang w:eastAsia="ru-RU"/>
              </w:rPr>
              <w:br/>
            </w:r>
            <w:proofErr w:type="spellStart"/>
            <w:r w:rsidRPr="0005073B">
              <w:rPr>
                <w:rFonts w:ascii="Times New Roman" w:eastAsia="Times New Roman" w:hAnsi="Times New Roman" w:cs="Times New Roman"/>
                <w:sz w:val="24"/>
                <w:szCs w:val="24"/>
                <w:lang w:eastAsia="ru-RU"/>
              </w:rPr>
              <w:t>Дт</w:t>
            </w:r>
            <w:proofErr w:type="spellEnd"/>
            <w:proofErr w:type="gram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Дополнительный капитал</w:t>
            </w:r>
            <w:r w:rsidRPr="0005073B">
              <w:rPr>
                <w:rFonts w:ascii="Times New Roman" w:eastAsia="Times New Roman" w:hAnsi="Times New Roman" w:cs="Times New Roman"/>
                <w:sz w:val="24"/>
                <w:szCs w:val="24"/>
                <w:lang w:eastAsia="ru-RU"/>
              </w:rPr>
              <w:t xml:space="preserve">» </w:t>
            </w:r>
            <w:proofErr w:type="spellStart"/>
            <w:r w:rsidRPr="0005073B">
              <w:rPr>
                <w:rFonts w:ascii="Times New Roman" w:eastAsia="Times New Roman" w:hAnsi="Times New Roman" w:cs="Times New Roman"/>
                <w:sz w:val="24"/>
                <w:szCs w:val="24"/>
                <w:lang w:eastAsia="ru-RU"/>
              </w:rPr>
              <w:t>Кт</w:t>
            </w:r>
            <w:proofErr w:type="spell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Остаточная стоимость ОС</w:t>
            </w:r>
            <w:r w:rsidRPr="0005073B">
              <w:rPr>
                <w:rFonts w:ascii="Times New Roman" w:eastAsia="Times New Roman" w:hAnsi="Times New Roman" w:cs="Times New Roman"/>
                <w:sz w:val="24"/>
                <w:szCs w:val="24"/>
                <w:lang w:eastAsia="ru-RU"/>
              </w:rPr>
              <w:t>» на результаты переоценки ОС</w:t>
            </w:r>
          </w:p>
        </w:tc>
      </w:tr>
      <w:tr w:rsidR="0005073B" w:rsidRPr="0005073B" w:rsidTr="0005073B">
        <w:trPr>
          <w:tblCellSpacing w:w="0" w:type="dxa"/>
        </w:trPr>
        <w:tc>
          <w:tcPr>
            <w:tcW w:w="21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счета 01, 04</w:t>
            </w:r>
          </w:p>
        </w:tc>
        <w:tc>
          <w:tcPr>
            <w:tcW w:w="220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могут быть отражены ценности, использованные не предприятием, а его руководством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состав активов включается только то, что приносит пользу предприятию</w:t>
            </w:r>
          </w:p>
        </w:tc>
        <w:tc>
          <w:tcPr>
            <w:tcW w:w="322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Дт</w:t>
            </w:r>
            <w:proofErr w:type="spell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Распределение прибыли</w:t>
            </w:r>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sz w:val="24"/>
                <w:szCs w:val="24"/>
                <w:lang w:eastAsia="ru-RU"/>
              </w:rPr>
              <w:br/>
            </w:r>
            <w:proofErr w:type="spellStart"/>
            <w:r w:rsidRPr="0005073B">
              <w:rPr>
                <w:rFonts w:ascii="Times New Roman" w:eastAsia="Times New Roman" w:hAnsi="Times New Roman" w:cs="Times New Roman"/>
                <w:sz w:val="24"/>
                <w:szCs w:val="24"/>
                <w:lang w:eastAsia="ru-RU"/>
              </w:rPr>
              <w:t>Кт</w:t>
            </w:r>
            <w:proofErr w:type="spell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Остаточная стоимость ОС</w:t>
            </w:r>
            <w:r w:rsidRPr="0005073B">
              <w:rPr>
                <w:rFonts w:ascii="Times New Roman" w:eastAsia="Times New Roman" w:hAnsi="Times New Roman" w:cs="Times New Roman"/>
                <w:sz w:val="24"/>
                <w:szCs w:val="24"/>
                <w:lang w:eastAsia="ru-RU"/>
              </w:rPr>
              <w:t>», «</w:t>
            </w:r>
            <w:r w:rsidRPr="0005073B">
              <w:rPr>
                <w:rFonts w:ascii="Times New Roman" w:eastAsia="Times New Roman" w:hAnsi="Times New Roman" w:cs="Times New Roman"/>
                <w:i/>
                <w:iCs/>
                <w:sz w:val="24"/>
                <w:szCs w:val="24"/>
                <w:lang w:eastAsia="ru-RU"/>
              </w:rPr>
              <w:t>Остаточная стоимость НМА</w:t>
            </w:r>
            <w:r w:rsidRPr="0005073B">
              <w:rPr>
                <w:rFonts w:ascii="Times New Roman" w:eastAsia="Times New Roman" w:hAnsi="Times New Roman" w:cs="Times New Roman"/>
                <w:sz w:val="24"/>
                <w:szCs w:val="24"/>
                <w:lang w:eastAsia="ru-RU"/>
              </w:rPr>
              <w:t>»</w:t>
            </w:r>
          </w:p>
        </w:tc>
      </w:tr>
      <w:tr w:rsidR="0005073B" w:rsidRPr="0005073B" w:rsidTr="0005073B">
        <w:trPr>
          <w:tblCellSpacing w:w="0" w:type="dxa"/>
        </w:trPr>
        <w:tc>
          <w:tcPr>
            <w:tcW w:w="21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счет 06 «</w:t>
            </w:r>
            <w:r w:rsidRPr="0005073B">
              <w:rPr>
                <w:rFonts w:ascii="Times New Roman" w:eastAsia="Times New Roman" w:hAnsi="Times New Roman" w:cs="Times New Roman"/>
                <w:i/>
                <w:iCs/>
                <w:sz w:val="24"/>
                <w:szCs w:val="24"/>
                <w:lang w:eastAsia="ru-RU"/>
              </w:rPr>
              <w:t>Инвестиции в другие организации</w:t>
            </w:r>
            <w:r w:rsidRPr="0005073B">
              <w:rPr>
                <w:rFonts w:ascii="Times New Roman" w:eastAsia="Times New Roman" w:hAnsi="Times New Roman" w:cs="Times New Roman"/>
                <w:sz w:val="24"/>
                <w:szCs w:val="24"/>
                <w:lang w:eastAsia="ru-RU"/>
              </w:rPr>
              <w:t>»</w:t>
            </w:r>
          </w:p>
        </w:tc>
        <w:tc>
          <w:tcPr>
            <w:tcW w:w="220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отражают взносы в оплату акций бездействующих предприятий</w:t>
            </w:r>
          </w:p>
        </w:tc>
        <w:tc>
          <w:tcPr>
            <w:tcW w:w="252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учитываются лишь прибыльные вложения</w:t>
            </w:r>
          </w:p>
        </w:tc>
        <w:tc>
          <w:tcPr>
            <w:tcW w:w="322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Дт</w:t>
            </w:r>
            <w:proofErr w:type="spell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 xml:space="preserve">Прибыли и </w:t>
            </w:r>
            <w:proofErr w:type="gramStart"/>
            <w:r w:rsidRPr="0005073B">
              <w:rPr>
                <w:rFonts w:ascii="Times New Roman" w:eastAsia="Times New Roman" w:hAnsi="Times New Roman" w:cs="Times New Roman"/>
                <w:i/>
                <w:iCs/>
                <w:sz w:val="24"/>
                <w:szCs w:val="24"/>
                <w:lang w:eastAsia="ru-RU"/>
              </w:rPr>
              <w:t>убытки</w:t>
            </w:r>
            <w:r w:rsidRPr="0005073B">
              <w:rPr>
                <w:rFonts w:ascii="Times New Roman" w:eastAsia="Times New Roman" w:hAnsi="Times New Roman" w:cs="Times New Roman"/>
                <w:sz w:val="24"/>
                <w:szCs w:val="24"/>
                <w:lang w:eastAsia="ru-RU"/>
              </w:rPr>
              <w:t>»</w:t>
            </w:r>
            <w:r w:rsidRPr="0005073B">
              <w:rPr>
                <w:rFonts w:ascii="Times New Roman" w:eastAsia="Times New Roman" w:hAnsi="Times New Roman" w:cs="Times New Roman"/>
                <w:sz w:val="24"/>
                <w:szCs w:val="24"/>
                <w:lang w:eastAsia="ru-RU"/>
              </w:rPr>
              <w:br/>
            </w:r>
            <w:proofErr w:type="spellStart"/>
            <w:r w:rsidRPr="0005073B">
              <w:rPr>
                <w:rFonts w:ascii="Times New Roman" w:eastAsia="Times New Roman" w:hAnsi="Times New Roman" w:cs="Times New Roman"/>
                <w:sz w:val="24"/>
                <w:szCs w:val="24"/>
                <w:lang w:eastAsia="ru-RU"/>
              </w:rPr>
              <w:t>Кт</w:t>
            </w:r>
            <w:proofErr w:type="spellEnd"/>
            <w:proofErr w:type="gram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Долгосрочные финансовые вложения</w:t>
            </w:r>
            <w:r w:rsidRPr="0005073B">
              <w:rPr>
                <w:rFonts w:ascii="Times New Roman" w:eastAsia="Times New Roman" w:hAnsi="Times New Roman" w:cs="Times New Roman"/>
                <w:sz w:val="24"/>
                <w:szCs w:val="24"/>
                <w:lang w:eastAsia="ru-RU"/>
              </w:rPr>
              <w:t>»</w:t>
            </w:r>
          </w:p>
        </w:tc>
      </w:tr>
      <w:tr w:rsidR="0005073B" w:rsidRPr="0005073B" w:rsidTr="0005073B">
        <w:trPr>
          <w:tblCellSpacing w:w="0" w:type="dxa"/>
        </w:trPr>
        <w:tc>
          <w:tcPr>
            <w:tcW w:w="21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счет 06 по инвестициям в дочерние и зависимые общества</w:t>
            </w:r>
          </w:p>
        </w:tc>
        <w:tc>
          <w:tcPr>
            <w:tcW w:w="220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отражают вклады в уставные капиталы др. предприятий</w:t>
            </w:r>
          </w:p>
        </w:tc>
        <w:tc>
          <w:tcPr>
            <w:tcW w:w="252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требуется или консолидация отчетности, или применение метода собственного капитала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смотри выше</w:t>
            </w:r>
          </w:p>
        </w:tc>
      </w:tr>
      <w:tr w:rsidR="0005073B" w:rsidRPr="0005073B" w:rsidTr="0005073B">
        <w:trPr>
          <w:tblCellSpacing w:w="0" w:type="dxa"/>
        </w:trPr>
        <w:tc>
          <w:tcPr>
            <w:tcW w:w="21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счета 20, 21, 23, 29, 30, 36, 44, 40, 41</w:t>
            </w:r>
          </w:p>
        </w:tc>
        <w:tc>
          <w:tcPr>
            <w:tcW w:w="220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многими применяется система распределения косвенных расходов на счете 20</w:t>
            </w:r>
          </w:p>
        </w:tc>
        <w:tc>
          <w:tcPr>
            <w:tcW w:w="252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калькулирование</w:t>
            </w:r>
            <w:proofErr w:type="spellEnd"/>
            <w:r w:rsidRPr="0005073B">
              <w:rPr>
                <w:rFonts w:ascii="Times New Roman" w:eastAsia="Times New Roman" w:hAnsi="Times New Roman" w:cs="Times New Roman"/>
                <w:sz w:val="24"/>
                <w:szCs w:val="24"/>
                <w:lang w:eastAsia="ru-RU"/>
              </w:rPr>
              <w:t xml:space="preserve"> полной фактической себестоимости не производится. Издержки обращения отражаются по статье «</w:t>
            </w:r>
            <w:r w:rsidRPr="0005073B">
              <w:rPr>
                <w:rFonts w:ascii="Times New Roman" w:eastAsia="Times New Roman" w:hAnsi="Times New Roman" w:cs="Times New Roman"/>
                <w:i/>
                <w:iCs/>
                <w:sz w:val="24"/>
                <w:szCs w:val="24"/>
                <w:lang w:eastAsia="ru-RU"/>
              </w:rPr>
              <w:t>Товары</w:t>
            </w:r>
            <w:r w:rsidRPr="0005073B">
              <w:rPr>
                <w:rFonts w:ascii="Times New Roman" w:eastAsia="Times New Roman" w:hAnsi="Times New Roman" w:cs="Times New Roman"/>
                <w:sz w:val="24"/>
                <w:szCs w:val="24"/>
                <w:lang w:eastAsia="ru-RU"/>
              </w:rPr>
              <w:t>»</w:t>
            </w:r>
          </w:p>
        </w:tc>
        <w:tc>
          <w:tcPr>
            <w:tcW w:w="322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на долю косвенных затрат, распределенных в незавершенном производстве: </w:t>
            </w:r>
            <w:r w:rsidRPr="0005073B">
              <w:rPr>
                <w:rFonts w:ascii="Times New Roman" w:eastAsia="Times New Roman" w:hAnsi="Times New Roman" w:cs="Times New Roman"/>
                <w:sz w:val="24"/>
                <w:szCs w:val="24"/>
                <w:lang w:eastAsia="ru-RU"/>
              </w:rPr>
              <w:br/>
            </w:r>
            <w:proofErr w:type="spellStart"/>
            <w:r w:rsidRPr="0005073B">
              <w:rPr>
                <w:rFonts w:ascii="Times New Roman" w:eastAsia="Times New Roman" w:hAnsi="Times New Roman" w:cs="Times New Roman"/>
                <w:sz w:val="24"/>
                <w:szCs w:val="24"/>
                <w:lang w:eastAsia="ru-RU"/>
              </w:rPr>
              <w:t>Дт</w:t>
            </w:r>
            <w:proofErr w:type="spell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Прибыли и убытки</w:t>
            </w:r>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sz w:val="24"/>
                <w:szCs w:val="24"/>
                <w:lang w:eastAsia="ru-RU"/>
              </w:rPr>
              <w:br/>
            </w:r>
            <w:proofErr w:type="spellStart"/>
            <w:r w:rsidRPr="0005073B">
              <w:rPr>
                <w:rFonts w:ascii="Times New Roman" w:eastAsia="Times New Roman" w:hAnsi="Times New Roman" w:cs="Times New Roman"/>
                <w:sz w:val="24"/>
                <w:szCs w:val="24"/>
                <w:lang w:eastAsia="ru-RU"/>
              </w:rPr>
              <w:t>Кт</w:t>
            </w:r>
            <w:proofErr w:type="spell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Затраты в незавершенном производстве</w:t>
            </w:r>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sz w:val="24"/>
                <w:szCs w:val="24"/>
                <w:lang w:eastAsia="ru-RU"/>
              </w:rPr>
              <w:br/>
              <w:t xml:space="preserve">на сумму дебетового </w:t>
            </w:r>
            <w:proofErr w:type="gramStart"/>
            <w:r w:rsidRPr="0005073B">
              <w:rPr>
                <w:rFonts w:ascii="Times New Roman" w:eastAsia="Times New Roman" w:hAnsi="Times New Roman" w:cs="Times New Roman"/>
                <w:sz w:val="24"/>
                <w:szCs w:val="24"/>
                <w:lang w:eastAsia="ru-RU"/>
              </w:rPr>
              <w:t>сальдо:</w:t>
            </w:r>
            <w:r w:rsidRPr="0005073B">
              <w:rPr>
                <w:rFonts w:ascii="Times New Roman" w:eastAsia="Times New Roman" w:hAnsi="Times New Roman" w:cs="Times New Roman"/>
                <w:sz w:val="24"/>
                <w:szCs w:val="24"/>
                <w:lang w:eastAsia="ru-RU"/>
              </w:rPr>
              <w:br/>
            </w:r>
            <w:proofErr w:type="spellStart"/>
            <w:r w:rsidRPr="0005073B">
              <w:rPr>
                <w:rFonts w:ascii="Times New Roman" w:eastAsia="Times New Roman" w:hAnsi="Times New Roman" w:cs="Times New Roman"/>
                <w:sz w:val="24"/>
                <w:szCs w:val="24"/>
                <w:lang w:eastAsia="ru-RU"/>
              </w:rPr>
              <w:t>Дт</w:t>
            </w:r>
            <w:proofErr w:type="spellEnd"/>
            <w:proofErr w:type="gram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Покупные товары</w:t>
            </w:r>
            <w:r w:rsidRPr="0005073B">
              <w:rPr>
                <w:rFonts w:ascii="Times New Roman" w:eastAsia="Times New Roman" w:hAnsi="Times New Roman" w:cs="Times New Roman"/>
                <w:sz w:val="24"/>
                <w:szCs w:val="24"/>
                <w:lang w:eastAsia="ru-RU"/>
              </w:rPr>
              <w:t>»</w:t>
            </w:r>
            <w:r w:rsidRPr="0005073B">
              <w:rPr>
                <w:rFonts w:ascii="Times New Roman" w:eastAsia="Times New Roman" w:hAnsi="Times New Roman" w:cs="Times New Roman"/>
                <w:sz w:val="24"/>
                <w:szCs w:val="24"/>
                <w:lang w:eastAsia="ru-RU"/>
              </w:rPr>
              <w:br/>
            </w:r>
            <w:proofErr w:type="spellStart"/>
            <w:r w:rsidRPr="0005073B">
              <w:rPr>
                <w:rFonts w:ascii="Times New Roman" w:eastAsia="Times New Roman" w:hAnsi="Times New Roman" w:cs="Times New Roman"/>
                <w:sz w:val="24"/>
                <w:szCs w:val="24"/>
                <w:lang w:eastAsia="ru-RU"/>
              </w:rPr>
              <w:t>Кт</w:t>
            </w:r>
            <w:proofErr w:type="spell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Затраты в издержках обращения</w:t>
            </w:r>
            <w:r w:rsidRPr="0005073B">
              <w:rPr>
                <w:rFonts w:ascii="Times New Roman" w:eastAsia="Times New Roman" w:hAnsi="Times New Roman" w:cs="Times New Roman"/>
                <w:sz w:val="24"/>
                <w:szCs w:val="24"/>
                <w:lang w:eastAsia="ru-RU"/>
              </w:rPr>
              <w:t>»</w:t>
            </w:r>
          </w:p>
        </w:tc>
      </w:tr>
      <w:tr w:rsidR="0005073B" w:rsidRPr="0005073B" w:rsidTr="0005073B">
        <w:trPr>
          <w:tblCellSpacing w:w="0" w:type="dxa"/>
        </w:trPr>
        <w:tc>
          <w:tcPr>
            <w:tcW w:w="21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счет 19</w:t>
            </w:r>
          </w:p>
        </w:tc>
        <w:tc>
          <w:tcPr>
            <w:tcW w:w="220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для уменьшения платежей </w:t>
            </w:r>
            <w:r w:rsidRPr="0005073B">
              <w:rPr>
                <w:rFonts w:ascii="Times New Roman" w:eastAsia="Times New Roman" w:hAnsi="Times New Roman" w:cs="Times New Roman"/>
                <w:sz w:val="24"/>
                <w:szCs w:val="24"/>
                <w:lang w:eastAsia="ru-RU"/>
              </w:rPr>
              <w:lastRenderedPageBreak/>
              <w:t>предприятия в бюджет нужно выполнить целый ряд условий</w:t>
            </w:r>
          </w:p>
        </w:tc>
        <w:tc>
          <w:tcPr>
            <w:tcW w:w="252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xml:space="preserve">проявляется как потенциальное </w:t>
            </w:r>
            <w:r w:rsidRPr="0005073B">
              <w:rPr>
                <w:rFonts w:ascii="Times New Roman" w:eastAsia="Times New Roman" w:hAnsi="Times New Roman" w:cs="Times New Roman"/>
                <w:sz w:val="24"/>
                <w:szCs w:val="24"/>
                <w:lang w:eastAsia="ru-RU"/>
              </w:rPr>
              <w:lastRenderedPageBreak/>
              <w:t>уменьшение обязательств перед бюджетом</w:t>
            </w:r>
          </w:p>
        </w:tc>
        <w:tc>
          <w:tcPr>
            <w:tcW w:w="322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xml:space="preserve">надо рассматривать дебетовое сальдо по счету </w:t>
            </w:r>
            <w:r w:rsidRPr="0005073B">
              <w:rPr>
                <w:rFonts w:ascii="Times New Roman" w:eastAsia="Times New Roman" w:hAnsi="Times New Roman" w:cs="Times New Roman"/>
                <w:sz w:val="24"/>
                <w:szCs w:val="24"/>
                <w:lang w:eastAsia="ru-RU"/>
              </w:rPr>
              <w:lastRenderedPageBreak/>
              <w:t xml:space="preserve">19 как отсроченный налог </w:t>
            </w:r>
            <w:proofErr w:type="spellStart"/>
            <w:r w:rsidRPr="0005073B">
              <w:rPr>
                <w:rFonts w:ascii="Times New Roman" w:eastAsia="Times New Roman" w:hAnsi="Times New Roman" w:cs="Times New Roman"/>
                <w:sz w:val="24"/>
                <w:szCs w:val="24"/>
                <w:lang w:eastAsia="ru-RU"/>
              </w:rPr>
              <w:t>Дт</w:t>
            </w:r>
            <w:proofErr w:type="spell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 xml:space="preserve">Отсроченные </w:t>
            </w:r>
            <w:proofErr w:type="gramStart"/>
            <w:r w:rsidRPr="0005073B">
              <w:rPr>
                <w:rFonts w:ascii="Times New Roman" w:eastAsia="Times New Roman" w:hAnsi="Times New Roman" w:cs="Times New Roman"/>
                <w:i/>
                <w:iCs/>
                <w:sz w:val="24"/>
                <w:szCs w:val="24"/>
                <w:lang w:eastAsia="ru-RU"/>
              </w:rPr>
              <w:t>налоги</w:t>
            </w:r>
            <w:r w:rsidRPr="0005073B">
              <w:rPr>
                <w:rFonts w:ascii="Times New Roman" w:eastAsia="Times New Roman" w:hAnsi="Times New Roman" w:cs="Times New Roman"/>
                <w:sz w:val="24"/>
                <w:szCs w:val="24"/>
                <w:lang w:eastAsia="ru-RU"/>
              </w:rPr>
              <w:t>»</w:t>
            </w:r>
            <w:r w:rsidRPr="0005073B">
              <w:rPr>
                <w:rFonts w:ascii="Times New Roman" w:eastAsia="Times New Roman" w:hAnsi="Times New Roman" w:cs="Times New Roman"/>
                <w:sz w:val="24"/>
                <w:szCs w:val="24"/>
                <w:lang w:eastAsia="ru-RU"/>
              </w:rPr>
              <w:br/>
            </w:r>
            <w:proofErr w:type="spellStart"/>
            <w:r w:rsidRPr="0005073B">
              <w:rPr>
                <w:rFonts w:ascii="Times New Roman" w:eastAsia="Times New Roman" w:hAnsi="Times New Roman" w:cs="Times New Roman"/>
                <w:sz w:val="24"/>
                <w:szCs w:val="24"/>
                <w:lang w:eastAsia="ru-RU"/>
              </w:rPr>
              <w:t>Кт</w:t>
            </w:r>
            <w:proofErr w:type="spellEnd"/>
            <w:proofErr w:type="gram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НДС по приобретенным ценностям</w:t>
            </w:r>
            <w:r w:rsidRPr="0005073B">
              <w:rPr>
                <w:rFonts w:ascii="Times New Roman" w:eastAsia="Times New Roman" w:hAnsi="Times New Roman" w:cs="Times New Roman"/>
                <w:sz w:val="24"/>
                <w:szCs w:val="24"/>
                <w:lang w:eastAsia="ru-RU"/>
              </w:rPr>
              <w:t>» - при анализе не рассматривается в качестве актива</w:t>
            </w:r>
          </w:p>
        </w:tc>
      </w:tr>
      <w:tr w:rsidR="0005073B" w:rsidRPr="0005073B" w:rsidTr="0005073B">
        <w:trPr>
          <w:tblCellSpacing w:w="0" w:type="dxa"/>
        </w:trPr>
        <w:tc>
          <w:tcPr>
            <w:tcW w:w="21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счет 62</w:t>
            </w:r>
            <w:r w:rsidRPr="0005073B">
              <w:rPr>
                <w:rFonts w:ascii="Times New Roman" w:eastAsia="Times New Roman" w:hAnsi="Times New Roman" w:cs="Times New Roman"/>
                <w:sz w:val="24"/>
                <w:szCs w:val="24"/>
                <w:lang w:eastAsia="ru-RU"/>
              </w:rPr>
              <w:br/>
              <w:t>«</w:t>
            </w:r>
            <w:r w:rsidRPr="0005073B">
              <w:rPr>
                <w:rFonts w:ascii="Times New Roman" w:eastAsia="Times New Roman" w:hAnsi="Times New Roman" w:cs="Times New Roman"/>
                <w:i/>
                <w:iCs/>
                <w:sz w:val="24"/>
                <w:szCs w:val="24"/>
                <w:lang w:eastAsia="ru-RU"/>
              </w:rPr>
              <w:t>Покупатели и заказчики</w:t>
            </w:r>
            <w:r w:rsidRPr="0005073B">
              <w:rPr>
                <w:rFonts w:ascii="Times New Roman" w:eastAsia="Times New Roman" w:hAnsi="Times New Roman" w:cs="Times New Roman"/>
                <w:sz w:val="24"/>
                <w:szCs w:val="24"/>
                <w:lang w:eastAsia="ru-RU"/>
              </w:rPr>
              <w:t>»</w:t>
            </w:r>
          </w:p>
        </w:tc>
        <w:tc>
          <w:tcPr>
            <w:tcW w:w="220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большинство предприятий резерв по сомнительным долгам не создает</w:t>
            </w:r>
          </w:p>
        </w:tc>
        <w:tc>
          <w:tcPr>
            <w:tcW w:w="252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предполагается резервирование сумм на возможный невозврат дебиторской задолженности</w:t>
            </w:r>
          </w:p>
        </w:tc>
        <w:tc>
          <w:tcPr>
            <w:tcW w:w="322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Дт</w:t>
            </w:r>
            <w:proofErr w:type="spell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Прибыли и убытки</w:t>
            </w:r>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sz w:val="24"/>
                <w:szCs w:val="24"/>
                <w:lang w:eastAsia="ru-RU"/>
              </w:rPr>
              <w:br/>
            </w:r>
            <w:proofErr w:type="spellStart"/>
            <w:r w:rsidRPr="0005073B">
              <w:rPr>
                <w:rFonts w:ascii="Times New Roman" w:eastAsia="Times New Roman" w:hAnsi="Times New Roman" w:cs="Times New Roman"/>
                <w:sz w:val="24"/>
                <w:szCs w:val="24"/>
                <w:lang w:eastAsia="ru-RU"/>
              </w:rPr>
              <w:t>Кт</w:t>
            </w:r>
            <w:proofErr w:type="spellEnd"/>
            <w:r w:rsidRPr="0005073B">
              <w:rPr>
                <w:rFonts w:ascii="Times New Roman" w:eastAsia="Times New Roman" w:hAnsi="Times New Roman" w:cs="Times New Roman"/>
                <w:sz w:val="24"/>
                <w:szCs w:val="24"/>
                <w:lang w:eastAsia="ru-RU"/>
              </w:rPr>
              <w:t xml:space="preserve"> «</w:t>
            </w:r>
            <w:r w:rsidRPr="0005073B">
              <w:rPr>
                <w:rFonts w:ascii="Times New Roman" w:eastAsia="Times New Roman" w:hAnsi="Times New Roman" w:cs="Times New Roman"/>
                <w:i/>
                <w:iCs/>
                <w:sz w:val="24"/>
                <w:szCs w:val="24"/>
                <w:lang w:eastAsia="ru-RU"/>
              </w:rPr>
              <w:t>Резервы по сомнительным долгам</w:t>
            </w:r>
            <w:r w:rsidRPr="0005073B">
              <w:rPr>
                <w:rFonts w:ascii="Times New Roman" w:eastAsia="Times New Roman" w:hAnsi="Times New Roman" w:cs="Times New Roman"/>
                <w:sz w:val="24"/>
                <w:szCs w:val="24"/>
                <w:lang w:eastAsia="ru-RU"/>
              </w:rPr>
              <w:t xml:space="preserve">» - в отчетности сальдо по </w:t>
            </w:r>
            <w:proofErr w:type="spellStart"/>
            <w:r w:rsidRPr="0005073B">
              <w:rPr>
                <w:rFonts w:ascii="Times New Roman" w:eastAsia="Times New Roman" w:hAnsi="Times New Roman" w:cs="Times New Roman"/>
                <w:sz w:val="24"/>
                <w:szCs w:val="24"/>
                <w:lang w:eastAsia="ru-RU"/>
              </w:rPr>
              <w:t>сч</w:t>
            </w:r>
            <w:proofErr w:type="spellEnd"/>
            <w:r w:rsidRPr="0005073B">
              <w:rPr>
                <w:rFonts w:ascii="Times New Roman" w:eastAsia="Times New Roman" w:hAnsi="Times New Roman" w:cs="Times New Roman"/>
                <w:sz w:val="24"/>
                <w:szCs w:val="24"/>
                <w:lang w:eastAsia="ru-RU"/>
              </w:rPr>
              <w:t>. 62 надо уменьшить на сальдо «</w:t>
            </w:r>
            <w:r w:rsidRPr="0005073B">
              <w:rPr>
                <w:rFonts w:ascii="Times New Roman" w:eastAsia="Times New Roman" w:hAnsi="Times New Roman" w:cs="Times New Roman"/>
                <w:i/>
                <w:iCs/>
                <w:sz w:val="24"/>
                <w:szCs w:val="24"/>
                <w:lang w:eastAsia="ru-RU"/>
              </w:rPr>
              <w:t>Резервы по сомнительным долгам</w:t>
            </w:r>
            <w:r w:rsidRPr="0005073B">
              <w:rPr>
                <w:rFonts w:ascii="Times New Roman" w:eastAsia="Times New Roman" w:hAnsi="Times New Roman" w:cs="Times New Roman"/>
                <w:sz w:val="24"/>
                <w:szCs w:val="24"/>
                <w:lang w:eastAsia="ru-RU"/>
              </w:rPr>
              <w:t>»</w:t>
            </w:r>
          </w:p>
        </w:tc>
      </w:tr>
      <w:tr w:rsidR="0005073B" w:rsidRPr="0005073B" w:rsidTr="0005073B">
        <w:trPr>
          <w:tblCellSpacing w:w="0" w:type="dxa"/>
        </w:trPr>
        <w:tc>
          <w:tcPr>
            <w:tcW w:w="21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счет 58 «</w:t>
            </w:r>
            <w:r w:rsidRPr="0005073B">
              <w:rPr>
                <w:rFonts w:ascii="Times New Roman" w:eastAsia="Times New Roman" w:hAnsi="Times New Roman" w:cs="Times New Roman"/>
                <w:i/>
                <w:iCs/>
                <w:sz w:val="24"/>
                <w:szCs w:val="24"/>
                <w:lang w:eastAsia="ru-RU"/>
              </w:rPr>
              <w:t>Прочие краткосрочные финансовые вложения</w:t>
            </w:r>
            <w:r w:rsidRPr="0005073B">
              <w:rPr>
                <w:rFonts w:ascii="Times New Roman" w:eastAsia="Times New Roman" w:hAnsi="Times New Roman" w:cs="Times New Roman"/>
                <w:sz w:val="24"/>
                <w:szCs w:val="24"/>
                <w:lang w:eastAsia="ru-RU"/>
              </w:rPr>
              <w:t>»</w:t>
            </w:r>
          </w:p>
        </w:tc>
        <w:tc>
          <w:tcPr>
            <w:tcW w:w="220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отражаются вложения в ценные бумаги краткосрочного характера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применяются нормы Стандарта SFAS относительно оценки таких вложений</w:t>
            </w:r>
          </w:p>
        </w:tc>
        <w:tc>
          <w:tcPr>
            <w:tcW w:w="322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делаются при необходимости записи по созданию резерва под обесценение ценных бумаг</w:t>
            </w:r>
          </w:p>
        </w:tc>
      </w:tr>
      <w:tr w:rsidR="0005073B" w:rsidRPr="0005073B" w:rsidTr="0005073B">
        <w:trPr>
          <w:tblCellSpacing w:w="0" w:type="dxa"/>
        </w:trPr>
        <w:tc>
          <w:tcPr>
            <w:tcW w:w="21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счет 88 по непокрытым убыткам прошлых лет</w:t>
            </w:r>
          </w:p>
        </w:tc>
        <w:tc>
          <w:tcPr>
            <w:tcW w:w="220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непокрытые убытки, полученные за прошлые отчетные периоды, а также убыток отчетного года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убытки не отражаются в активе бухгалтерского баланса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сумма по этой статье отражается с минусом в разделе «</w:t>
            </w:r>
            <w:r w:rsidRPr="0005073B">
              <w:rPr>
                <w:rFonts w:ascii="Times New Roman" w:eastAsia="Times New Roman" w:hAnsi="Times New Roman" w:cs="Times New Roman"/>
                <w:i/>
                <w:iCs/>
                <w:sz w:val="24"/>
                <w:szCs w:val="24"/>
                <w:lang w:eastAsia="ru-RU"/>
              </w:rPr>
              <w:t>Капитал</w:t>
            </w:r>
            <w:r w:rsidRPr="0005073B">
              <w:rPr>
                <w:rFonts w:ascii="Times New Roman" w:eastAsia="Times New Roman" w:hAnsi="Times New Roman" w:cs="Times New Roman"/>
                <w:sz w:val="24"/>
                <w:szCs w:val="24"/>
                <w:lang w:eastAsia="ru-RU"/>
              </w:rPr>
              <w:t>». В примечаниях к отчетности раскрыть причины возникновения убытков</w:t>
            </w:r>
          </w:p>
        </w:tc>
      </w:tr>
    </w:tbl>
    <w:p w:rsidR="0005073B" w:rsidRPr="0005073B" w:rsidRDefault="0005073B" w:rsidP="0005073B">
      <w:pPr>
        <w:spacing w:before="100" w:beforeAutospacing="1" w:after="100" w:afterAutospacing="1"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Специфика деятельности совместных предприятий предопределяет целый ряд особенностей в постановке бухгалтерского учета, </w:t>
      </w:r>
      <w:proofErr w:type="gramStart"/>
      <w:r w:rsidRPr="0005073B">
        <w:rPr>
          <w:rFonts w:ascii="Times New Roman" w:eastAsia="Times New Roman" w:hAnsi="Times New Roman" w:cs="Times New Roman"/>
          <w:sz w:val="24"/>
          <w:szCs w:val="24"/>
          <w:lang w:eastAsia="ru-RU"/>
        </w:rPr>
        <w:t>а следовательно</w:t>
      </w:r>
      <w:proofErr w:type="gramEnd"/>
      <w:r w:rsidRPr="0005073B">
        <w:rPr>
          <w:rFonts w:ascii="Times New Roman" w:eastAsia="Times New Roman" w:hAnsi="Times New Roman" w:cs="Times New Roman"/>
          <w:sz w:val="24"/>
          <w:szCs w:val="24"/>
          <w:lang w:eastAsia="ru-RU"/>
        </w:rPr>
        <w:t xml:space="preserve">, и аудита. СП предоставлено право: вводить в план счетов бухгалтерского учета дополнительные синтетические счета для отражения специфических операций, вводить, уточнять или объединять отдельные </w:t>
      </w:r>
      <w:proofErr w:type="spellStart"/>
      <w:r w:rsidRPr="0005073B">
        <w:rPr>
          <w:rFonts w:ascii="Times New Roman" w:eastAsia="Times New Roman" w:hAnsi="Times New Roman" w:cs="Times New Roman"/>
          <w:sz w:val="24"/>
          <w:szCs w:val="24"/>
          <w:lang w:eastAsia="ru-RU"/>
        </w:rPr>
        <w:t>субсчета</w:t>
      </w:r>
      <w:proofErr w:type="spellEnd"/>
      <w:r w:rsidRPr="0005073B">
        <w:rPr>
          <w:rFonts w:ascii="Times New Roman" w:eastAsia="Times New Roman" w:hAnsi="Times New Roman" w:cs="Times New Roman"/>
          <w:sz w:val="24"/>
          <w:szCs w:val="24"/>
          <w:lang w:eastAsia="ru-RU"/>
        </w:rPr>
        <w:t xml:space="preserve">; вносить в установленные государством формы бухгалтерских отчетов и балансов изменения или дополнять их и т.д. Аудитору следует выяснить, определяют ли учредительные документы, необходимые для ведения бухгалтерского учета, порядок амортизационных отчислений, покрытия убытков, пополнения уставного фонда, распределения прибыли и выручки в свободно конвертируемой валюте; перечень фондов (помимо резервного), нужных для деятельности и социального развития коллектива, порядок их образования и использования. В положениях совета (правления), дирекции должен предусматриваться порядок рассмотрения и утверждения годового бухгалтерского отчета, проведения ревизий, предоставления данных контрольным органам об имуществе, прибылях и убытках. Одним из ключевых вопросов аудиторской проверки является изучение порядка формирования и оценки уставных фондов (СП), правильности оформления бухгалтерских записей и первичных документов. Аудитор в качестве источников информации использует устав, договор, протоколы правления, выписки банка, счета, акты, накладные, журналы-ордера, Главную книгу и баланс. Вклады участников в уставный фонд определяются по договоренности между ними в соответствии с Законом "Об иностранных инвестициях" и оцениваются на основе цен мирового рынка. Оценка может осуществляться как в рублях, </w:t>
      </w:r>
      <w:r w:rsidRPr="0005073B">
        <w:rPr>
          <w:rFonts w:ascii="Times New Roman" w:eastAsia="Times New Roman" w:hAnsi="Times New Roman" w:cs="Times New Roman"/>
          <w:sz w:val="24"/>
          <w:szCs w:val="24"/>
          <w:lang w:eastAsia="ru-RU"/>
        </w:rPr>
        <w:lastRenderedPageBreak/>
        <w:t>так и в иностранной валюте с пересчетом стоимости вклада в рубли по курсу, применяемому во внешнеэкономических операциях.</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Аудитор должен тщательно изучить документы, подтверждающие вклады сторон в уставный фонд. На каждый взнос должен иметься определенный документ, в котором обязательно должна быть ссылка на участие в формировании уставного фонда.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Одним из основных вопросов аудита является проверка правильности исчисления себестоимости на СП. Для этого проверяется обоснованность включения отдельных видов затрат в себестоимость: платежей по страхованию; расходов на рекламу; по участию совместного предприятия в выставках и ярмарках на территории государства и за границей, связанных с экспортом продукции (работ и услуг); на командировки за границу, связанные с производственной и коммерческой деятельностью; представительских расходов (оплата услуг переводчиков, расходы по проведению официальных приемов иностранных представителей) по утвержденным сметам или нормам; по оплате аудиторских услуг; недостача ценностей в производстве и на складах и потерь от порчи ценностей, когда не установлены виновники (или во взыскании ущерба отказано судом), и др. Кроме того, контролируются такие расходы, как плата за наем жилых помещений и коммунальные услуги; отчисления владельцам патентов, используемых СП; комиссионное вознаграждение за предоставление банковских услуг; расходы по изучению состояния товарных рынков и оплата биржевых услуг; расходы, связанные с разработкой и защитой промышленных образцов; расходы по проведению заседаний совета (правления ) и т.д.</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Важной задачей аудиторского контроля является проверка правильности исчисления налога на прибыль СП. При этом необходимо учитывать, что режим налогообложения прибыли СП в части особенностей определения облагаемого дохода и права на льготы по налогу на прибыль зависит от соотношения долей вкладов отечественных и иностранных участников в уставном фонде СП. Начисления налога на прибыль осуществляются исходя из балансовой прибыли, которая представляет собой сумму прибыли от реализации продукции (работ, услуг и товарообменных операций), других материальных ценностей (включая основные фонды) и доходов от внереализационных операций, уменьшенных на сумму расходов по этим операциям. Устанавливается законность уменьшения облагаемой балансовой прибыли за счет отчислений в резервный фонд, выплаты дивидендов по акциям, принадлежащим другим предприятиям; доходов, полученных от долевого участия в других совместных предприятиях; уплаты налогов на недвижимость и т.д.</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процессе осуществления своей хозяйственной деятельности совместные предприятия достигли определенного финансового результата, сконцентрированным выражением которого является баланс. Баланс как краткая сводная опись имущества, долгов и собственных средств предприятия, составленная на данный период времени, является главным источником информации о его финансовом положении.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Типовая структура баланса любого предприятия, в том числе совместного, предусматривает двойное отражение его имущества - со стороны экономического содержания (актив) и со стороны юридического содержания (пассив). Так, в составе статей актива баланса предприятия выделяются основные средства: здания и сооружения, машины и оборудование; оборотные средства: товарно-материальные ценности (ТМЦ) в запасах, в заделах незавершенного производства и остатках готовой продукции, а также денежные средства в кассе и на счетах в банках, ценные бумаги и др. легко реализуемые активы (таблица 2).</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Таблица 2</w:t>
      </w:r>
    </w:p>
    <w:tbl>
      <w:tblPr>
        <w:tblW w:w="769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09"/>
        <w:gridCol w:w="3886"/>
      </w:tblGrid>
      <w:tr w:rsidR="0005073B" w:rsidRPr="0005073B" w:rsidTr="0005073B">
        <w:trPr>
          <w:tblCellSpacing w:w="0" w:type="dxa"/>
        </w:trPr>
        <w:tc>
          <w:tcPr>
            <w:tcW w:w="373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lastRenderedPageBreak/>
              <w:t>АКТИВ</w:t>
            </w:r>
          </w:p>
        </w:tc>
        <w:tc>
          <w:tcPr>
            <w:tcW w:w="381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ПАССИВ</w:t>
            </w:r>
          </w:p>
        </w:tc>
      </w:tr>
      <w:tr w:rsidR="0005073B" w:rsidRPr="0005073B" w:rsidTr="0005073B">
        <w:trPr>
          <w:tblCellSpacing w:w="0" w:type="dxa"/>
        </w:trPr>
        <w:tc>
          <w:tcPr>
            <w:tcW w:w="373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Собственные средства</w:t>
            </w:r>
            <w:r w:rsidRPr="0005073B">
              <w:rPr>
                <w:rFonts w:ascii="Times New Roman" w:eastAsia="Times New Roman" w:hAnsi="Times New Roman" w:cs="Times New Roman"/>
                <w:sz w:val="24"/>
                <w:szCs w:val="24"/>
                <w:lang w:eastAsia="ru-RU"/>
              </w:rPr>
              <w:br/>
              <w:t xml:space="preserve">Основные средства </w:t>
            </w:r>
            <w:r w:rsidRPr="0005073B">
              <w:rPr>
                <w:rFonts w:ascii="Times New Roman" w:eastAsia="Times New Roman" w:hAnsi="Times New Roman" w:cs="Times New Roman"/>
                <w:sz w:val="24"/>
                <w:szCs w:val="24"/>
                <w:lang w:eastAsia="ru-RU"/>
              </w:rPr>
              <w:br/>
              <w:t>Нематериальные активы</w:t>
            </w:r>
          </w:p>
        </w:tc>
        <w:tc>
          <w:tcPr>
            <w:tcW w:w="381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Собственные средства</w:t>
            </w:r>
            <w:r w:rsidRPr="0005073B">
              <w:rPr>
                <w:rFonts w:ascii="Times New Roman" w:eastAsia="Times New Roman" w:hAnsi="Times New Roman" w:cs="Times New Roman"/>
                <w:sz w:val="24"/>
                <w:szCs w:val="24"/>
                <w:lang w:eastAsia="ru-RU"/>
              </w:rPr>
              <w:br/>
              <w:t>Уставной фонд</w:t>
            </w:r>
            <w:r w:rsidRPr="0005073B">
              <w:rPr>
                <w:rFonts w:ascii="Times New Roman" w:eastAsia="Times New Roman" w:hAnsi="Times New Roman" w:cs="Times New Roman"/>
                <w:sz w:val="24"/>
                <w:szCs w:val="24"/>
                <w:lang w:eastAsia="ru-RU"/>
              </w:rPr>
              <w:br/>
              <w:t xml:space="preserve">Резервные фонды </w:t>
            </w:r>
            <w:r w:rsidRPr="0005073B">
              <w:rPr>
                <w:rFonts w:ascii="Times New Roman" w:eastAsia="Times New Roman" w:hAnsi="Times New Roman" w:cs="Times New Roman"/>
                <w:sz w:val="24"/>
                <w:szCs w:val="24"/>
                <w:lang w:eastAsia="ru-RU"/>
              </w:rPr>
              <w:br/>
              <w:t>Износ</w:t>
            </w:r>
          </w:p>
        </w:tc>
      </w:tr>
      <w:tr w:rsidR="0005073B" w:rsidRPr="0005073B" w:rsidTr="0005073B">
        <w:trPr>
          <w:tblCellSpacing w:w="0" w:type="dxa"/>
        </w:trPr>
        <w:tc>
          <w:tcPr>
            <w:tcW w:w="373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Оборотные средства (Запасы)</w:t>
            </w:r>
            <w:r w:rsidRPr="0005073B">
              <w:rPr>
                <w:rFonts w:ascii="Times New Roman" w:eastAsia="Times New Roman" w:hAnsi="Times New Roman" w:cs="Times New Roman"/>
                <w:sz w:val="24"/>
                <w:szCs w:val="24"/>
                <w:lang w:eastAsia="ru-RU"/>
              </w:rPr>
              <w:br/>
              <w:t xml:space="preserve">Денежные средства </w:t>
            </w:r>
            <w:r w:rsidRPr="0005073B">
              <w:rPr>
                <w:rFonts w:ascii="Times New Roman" w:eastAsia="Times New Roman" w:hAnsi="Times New Roman" w:cs="Times New Roman"/>
                <w:sz w:val="24"/>
                <w:szCs w:val="24"/>
                <w:lang w:eastAsia="ru-RU"/>
              </w:rPr>
              <w:br/>
              <w:t>Дебиторская задолженность</w:t>
            </w:r>
          </w:p>
        </w:tc>
        <w:tc>
          <w:tcPr>
            <w:tcW w:w="381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Заемные средства</w:t>
            </w:r>
            <w:r w:rsidRPr="0005073B">
              <w:rPr>
                <w:rFonts w:ascii="Times New Roman" w:eastAsia="Times New Roman" w:hAnsi="Times New Roman" w:cs="Times New Roman"/>
                <w:sz w:val="24"/>
                <w:szCs w:val="24"/>
                <w:lang w:eastAsia="ru-RU"/>
              </w:rPr>
              <w:br/>
              <w:t xml:space="preserve">Краткосрочные обязательства </w:t>
            </w:r>
            <w:r w:rsidRPr="0005073B">
              <w:rPr>
                <w:rFonts w:ascii="Times New Roman" w:eastAsia="Times New Roman" w:hAnsi="Times New Roman" w:cs="Times New Roman"/>
                <w:sz w:val="24"/>
                <w:szCs w:val="24"/>
                <w:lang w:eastAsia="ru-RU"/>
              </w:rPr>
              <w:br/>
              <w:t>Долгосрочная задолженность</w:t>
            </w:r>
          </w:p>
        </w:tc>
      </w:tr>
    </w:tbl>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Пассив баланса предприятия повторяет в юридическом разрезе определение имущества предприятия, выделяя в первую очередь собственные заемные средства, а также привлеченные в оборот предприятия средства целевых фондов и целевого финансирования. Состав собственных источников средств предприятия включают уставной фонд, специальные фонды и резервы, прибыль в хозяйственном обороте и т.п., а заемные средства в зависимости от сроков возврата подразделяются на долгосрочные и краткосрочные.</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Итог (результаты) хозяйствования предприятия за отчетный период отражается в пассиве (прибыль) или в активе (убыток). Баланс предприятия является источником для всестороннего рассмотрения находящихся в хозяйственном обороте предприятия средств как в разрезе привлеченных источников, так и в разрезе направления использования средств. Анализ структуры и состава заемных средств, соотношение отдельных статей в активе и пассиве в сочетании с дополнительными данными, содержащимися в финансовой отчетности, - счет прибылей и убытков, отчет об образовании и использовании фондов и резервов - позволяют определить значение различных показателей, характеризующих темпы роста и накопления, эффективность функционирования применительно к сложившейся структуре источников и направлениям их использования.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Для совместных предприятий установлен порядок ведения оперативного бухгалтерского и статистического учета, аналогичный действующему для российских предприятий. То же относится и к отчетности, представляемой совместными предприятиями, включая финансовую.</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Согласно российскому законодательству отдельные статьи баланса приводятся в следующих оценках:</w:t>
      </w:r>
    </w:p>
    <w:p w:rsidR="0005073B" w:rsidRPr="0005073B" w:rsidRDefault="0005073B" w:rsidP="0005073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инвестиции в основные средства оцениваются и учитываются по фактическим затратам; </w:t>
      </w:r>
    </w:p>
    <w:p w:rsidR="0005073B" w:rsidRPr="0005073B" w:rsidRDefault="0005073B" w:rsidP="0005073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основные средства отражаются в балансе по их остаточной стоимости; </w:t>
      </w:r>
    </w:p>
    <w:p w:rsidR="0005073B" w:rsidRPr="0005073B" w:rsidRDefault="0005073B" w:rsidP="0005073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основные и вспомогательные материалы и другие материальные ценности отражаются в балансе по фактической стоимости их приобретения, заготовки и доставки; </w:t>
      </w:r>
    </w:p>
    <w:p w:rsidR="0005073B" w:rsidRPr="0005073B" w:rsidRDefault="0005073B" w:rsidP="0005073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незавершенное производство оценивается по фактической себестоимости; </w:t>
      </w:r>
    </w:p>
    <w:p w:rsidR="0005073B" w:rsidRPr="0005073B" w:rsidRDefault="0005073B" w:rsidP="0005073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готовая продукция - по фактической производственной себестоимости; </w:t>
      </w:r>
    </w:p>
    <w:p w:rsidR="0005073B" w:rsidRPr="0005073B" w:rsidRDefault="0005073B" w:rsidP="0005073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товары отгруженные, сданные работы и оказанные услуги - по полной фактической себестоимости.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Амортизационные отчисления являются тем средством отнесения единовременных расходов на текущие затраты, которые затем сопоставляются с полученными доходами, образуя соответствующие финансовые источники покрытия (возмещения) единовременных расходов. Если стоимость активов не покрывается в конце их срока службы, то предприятие будет испытывать серьезные финансовые затруднения.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xml:space="preserve">Периодическая финансовая отчетность предприятия всегда рассматривается как с точки зрения имущества, так и с точки зрения выявления оценки финансового результата. Первую задачу выполняет баланс, вторую - расчет прибыли или убытка. При этом баланс показывает общий результат, тогда как расчет прибыли или убытка служит выявлению причин, обусловивших полученный результат. Расчет финансового результата (прибыли или убытка), заключающийся в сопоставлении доходов отчетного периода и произведенных за тот же период времени затрат, опирается, с одной стороны, на рационально построенную систему </w:t>
      </w:r>
      <w:proofErr w:type="spellStart"/>
      <w:r w:rsidRPr="0005073B">
        <w:rPr>
          <w:rFonts w:ascii="Times New Roman" w:eastAsia="Times New Roman" w:hAnsi="Times New Roman" w:cs="Times New Roman"/>
          <w:sz w:val="24"/>
          <w:szCs w:val="24"/>
          <w:lang w:eastAsia="ru-RU"/>
        </w:rPr>
        <w:t>калькулирования</w:t>
      </w:r>
      <w:proofErr w:type="spellEnd"/>
      <w:r w:rsidRPr="0005073B">
        <w:rPr>
          <w:rFonts w:ascii="Times New Roman" w:eastAsia="Times New Roman" w:hAnsi="Times New Roman" w:cs="Times New Roman"/>
          <w:sz w:val="24"/>
          <w:szCs w:val="24"/>
          <w:lang w:eastAsia="ru-RU"/>
        </w:rPr>
        <w:t xml:space="preserve"> затрат, с другой - на эффективное решение вопросов распределения полученных доходов по объектам и периодам.</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результатный баланс как оценку деятельности должна включаться себестоимость продукции, которая в качестве суммы затрат отчетного периода противопоставляется сумме выручки. Хотя счет прибыли и убытка и лежит в основе расчета прибыли (убытка), представление финансового результата деятельности предприятия требует специального расчета прибыли и убытка, показывающего как они получены. При этом доходы по особым статьям, например, по участникам в других предприятиях, по арендным договорам и т.д., следует строго отделять от доходов, поступивших за реализованную продукцию. В самом общем виде эта схема включает следующие моменты:</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1. Доходы и расходы от реализации продукции: валовый доход от реализации.</w:t>
      </w:r>
    </w:p>
    <w:p w:rsidR="0005073B" w:rsidRPr="0005073B" w:rsidRDefault="0005073B" w:rsidP="0005073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Производственная себестоимость продукции. </w:t>
      </w:r>
    </w:p>
    <w:p w:rsidR="0005073B" w:rsidRPr="0005073B" w:rsidRDefault="0005073B" w:rsidP="0005073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Внепроизводственные расходы. </w:t>
      </w:r>
    </w:p>
    <w:p w:rsidR="0005073B" w:rsidRPr="0005073B" w:rsidRDefault="0005073B" w:rsidP="0005073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Прибыль (убыток) от реализации продукции. </w:t>
      </w:r>
    </w:p>
    <w:p w:rsidR="0005073B" w:rsidRPr="0005073B" w:rsidRDefault="0005073B" w:rsidP="0005073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Прибыль (убыток) от прочей реализации.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2. Внереализационные доходы, расходы и потери: </w:t>
      </w:r>
    </w:p>
    <w:p w:rsidR="0005073B" w:rsidRPr="0005073B" w:rsidRDefault="0005073B" w:rsidP="0005073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Экономические санкции (штрафы, пени и неустойки), полученные и уплаченные.</w:t>
      </w:r>
    </w:p>
    <w:p w:rsidR="0005073B" w:rsidRPr="0005073B" w:rsidRDefault="0005073B" w:rsidP="0005073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Проценты, полученные. </w:t>
      </w:r>
    </w:p>
    <w:p w:rsidR="0005073B" w:rsidRPr="0005073B" w:rsidRDefault="0005073B" w:rsidP="0005073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Курсовые разницы по валютным счетам и по операциям в иностранной валюте.</w:t>
      </w:r>
    </w:p>
    <w:p w:rsidR="0005073B" w:rsidRPr="0005073B" w:rsidRDefault="0005073B" w:rsidP="0005073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Доходы и потери по операциям с ценными бумагами, финансовыми вложениями и займами. </w:t>
      </w:r>
    </w:p>
    <w:p w:rsidR="0005073B" w:rsidRPr="0005073B" w:rsidRDefault="0005073B" w:rsidP="0005073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Прочие прибыли и убытки.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3. Прибыль или убыток за отчетный период.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Финансовая отчетность СП построена таким образом, что отчет о прибылях и убытках совмещает в себе одновременно отражение оборотов по счету реализации и движение внереализационных доходов (расходов) средств по счету прибылей и убытков. Используются следующие разновидности финансового результата:</w:t>
      </w:r>
    </w:p>
    <w:p w:rsidR="0005073B" w:rsidRPr="0005073B" w:rsidRDefault="0005073B" w:rsidP="0005073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прибыль-брутто - фактическая балансовая прибыль за исключением той ее части, которая используется в особом порядке; </w:t>
      </w:r>
    </w:p>
    <w:p w:rsidR="0005073B" w:rsidRPr="0005073B" w:rsidRDefault="0005073B" w:rsidP="0005073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расчетная прибыль - прибыль-брутто за вычетом платежей на производственные фонды и трудовые ресурсы, а также проценты за краткосрочный кредит;</w:t>
      </w:r>
    </w:p>
    <w:p w:rsidR="0005073B" w:rsidRPr="0005073B" w:rsidRDefault="0005073B" w:rsidP="0005073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чистая прибыль (или прибыль, остающаяся в распоряжении предприятия); </w:t>
      </w:r>
    </w:p>
    <w:p w:rsidR="0005073B" w:rsidRPr="0005073B" w:rsidRDefault="0005073B" w:rsidP="0005073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расчетная прибыль, уменьшенная на величину отчислений в государственный бюджет (от прибыли) и в централизованные фонды вышестоящей организации.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Расчет рентабельности - рассматривается как соотношение единовременных затрат и текущих доходов (прибыли), обеспечивающих их покрытие, является относительным </w:t>
      </w:r>
      <w:r w:rsidRPr="0005073B">
        <w:rPr>
          <w:rFonts w:ascii="Times New Roman" w:eastAsia="Times New Roman" w:hAnsi="Times New Roman" w:cs="Times New Roman"/>
          <w:sz w:val="24"/>
          <w:szCs w:val="24"/>
          <w:lang w:eastAsia="ru-RU"/>
        </w:rPr>
        <w:lastRenderedPageBreak/>
        <w:t>показателем доходности предприятия. Рентабельность следует рассматривать как с точки зрения акционера (пайщика), так и с точки зрения предприятия. В первом случае говорят о финансовой рентабельности, во-вторых о хозяйственной рентабельности. В первом случае в состав формулы входят расчетная прибыль и собственные источники средств, включая долгосрочную кредиторскую задолженность и привлеченные средства. Во-втором - в формуле используются балансовая прибыль и вся сумма средств, включенных в хозяйственный оборот предприятия. Подходы к расчету рентабельности, положенные в основу официальной методики, излагаемой в настоящем отчете, различны.</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процессе анализа финансового положения СП необходимо получить ответ на следующие вопросы:</w:t>
      </w:r>
    </w:p>
    <w:p w:rsidR="0005073B" w:rsidRPr="0005073B" w:rsidRDefault="0005073B" w:rsidP="0005073B">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насколько обеспечено предприятие собственными источниками средств для осуществления своей хозяйственной деятельности;</w:t>
      </w:r>
    </w:p>
    <w:p w:rsidR="0005073B" w:rsidRPr="0005073B" w:rsidRDefault="0005073B" w:rsidP="0005073B">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насколько гарантировано в будущем погашение предприятием своих текущих финансовых обязательств;</w:t>
      </w:r>
    </w:p>
    <w:p w:rsidR="0005073B" w:rsidRPr="0005073B" w:rsidRDefault="0005073B" w:rsidP="0005073B">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насколько связано предприятие своими финансовыми обязательствами перед кредиторами; </w:t>
      </w:r>
    </w:p>
    <w:p w:rsidR="0005073B" w:rsidRPr="0005073B" w:rsidRDefault="0005073B" w:rsidP="0005073B">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какова оборачиваемость средств, находящихся в хозяйственном обороте предприятия; </w:t>
      </w:r>
    </w:p>
    <w:p w:rsidR="0005073B" w:rsidRPr="0005073B" w:rsidRDefault="0005073B" w:rsidP="0005073B">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какова отдача средств, вложенных в предприятие;</w:t>
      </w:r>
    </w:p>
    <w:p w:rsidR="0005073B" w:rsidRPr="0005073B" w:rsidRDefault="0005073B" w:rsidP="0005073B">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каковы тенденции в изменении финансового положения предприятия.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Для ответа на поставленные вопросы необходимо тщательно изучить финансовую отчетность предприятия, включая, в первую очередь, баланс и отчет о прибылях и убытках. Этапы анализа:</w:t>
      </w:r>
    </w:p>
    <w:p w:rsidR="0005073B" w:rsidRPr="0005073B" w:rsidRDefault="0005073B" w:rsidP="0005073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По данным баланса выполняется расчет изменения финансового состояния предприятия за отчетный период. Осуществляется анализ изменения финансового положения за отчетный период. </w:t>
      </w:r>
    </w:p>
    <w:p w:rsidR="0005073B" w:rsidRPr="0005073B" w:rsidRDefault="0005073B" w:rsidP="0005073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Проводится расчет изменения платежеспособности предприятия за отчетный период.</w:t>
      </w:r>
    </w:p>
    <w:p w:rsidR="0005073B" w:rsidRPr="0005073B" w:rsidRDefault="0005073B" w:rsidP="0005073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завершении проводится расчет относительных показателей финансового состояния предприятия.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Рассмотрим подробнее каждый из обозначенных этапов. Анализ изменения отдельных составляющих финансового состояния предприятия должен дать ответ на ряд вопросов: какие дополнительные источники ресурсов вовлекло предприятие в свой хозяйственный оборот за рассматриваемый период; куда были направлены дополнительные ресурсы; привела ли хозяйственная деятельность предприятия за отчетный период к повышению устойчивости финансового состояния и платежеспособности предприятия.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основу построения таблицы изменения финансового состояния предприятия положено разделение всех изменений за отчетный период, произошедших в отдельных статьях баланса, - на источники и их использование. Выделим составляющую, связанную с изменением размеров и структуры собственных оборотных средств предприятия. Для этого статьи баланса предприятия специально группируются. И, наконец, изменение платежеспособности предприятия за отчетный период иллюстрируются расчетом.</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Заключительный этап анализа - расчет системы относительных показателей финансового состояния предприятия. Основное предназначение собственных источников оборотных средств - покрытие потребности предприятия в источниках на формирование </w:t>
      </w:r>
      <w:r w:rsidRPr="0005073B">
        <w:rPr>
          <w:rFonts w:ascii="Times New Roman" w:eastAsia="Times New Roman" w:hAnsi="Times New Roman" w:cs="Times New Roman"/>
          <w:sz w:val="24"/>
          <w:szCs w:val="24"/>
          <w:lang w:eastAsia="ru-RU"/>
        </w:rPr>
        <w:lastRenderedPageBreak/>
        <w:t>производственных запасов и средств, обеспечивающих расчеты, и др. Коэффициент автономии - определяет удельный вес собственных средств предприятия в общем итоге всех вовлеченных в хозяйственный оборот средств.</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Показатель, характеризующий удельный вес собственных оборотных средств по отношению ко всей массе используемых собственных средств, получил название коэффициента маневренности. Низкое значение коэффициента маневренности свидетельствует об увеличении зависимости успешной деятельности предприятия от правильности проведения технической политики, от компетентности принимаемых долгосрочных решений. Изменение показателя удельного веса долгосрочной задолженности в общем объеме вложенных в предприятие средств получило название коэффициента связанности. Он является дополнительным к показателю автономии.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Один из основных показателей - соотношение оборотных средств с величиной краткосрочных обязательств - коэффициент покрытия. Считается удовлетворительным, когда значение данного показателя не ниже двух. Однако для хозяйственной практики имеет место отступление от этой рекомендации. В отраслях с высокой скоростью оборота средств (легкая, пищевая и др.) он может быть существенно выше, а в отраслях же, отличающихся продолжительным циклом оборота средств, таких, как добывающая, транспорт и др., - ниже.</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Коэффициент ликвидности характеризует платежеспособность предприятия. Поскольку материальные запасы и заделы незавершенного производства при нормальном ходе деятельности предприятия не являются предметом сбыта до тех пор, пока не превратятся в готовую продукцию, то и к ликвидным средствам относят разность оборотных средств и запасов, включая заделы незавершенного производства. В ряде случаев размер ликвидности средств уменьшают еще и на величину товарных запасов. Хорошим считается положение, когда коэффициент ликвидности близок единице. Обеспечить текущую платежеспособность можно с тем большей надежностью, чем выше скорость оборота товарно-материальных ценностей и чем короче сроки по предоставленным коммерческим кредитам.</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Следующая группа показателей концентрирует внимание на эффективности использования финансовых ресурсов предприятия. Так, показатель рентабельности предприятия, характеризующий отдачу вложенных в предприятие средств (собственных, заемных и привлеченных), определяется как отношение прибыли (брутто) к итогу баланса. Для того, чтобы очистить финансовый результат от влияния краткосрочных факторов, обусловленных привлечением краткосрочных источников финансирования текущей деятельности, на практике получил распространение показатель расчетной рентабельности (рентабельность инвестиций), как соотношение между расчетной прибылью и итогом баланса, уменьшенным на величину краткосрочной кредиторской задолженности.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И, наконец, показатель рентабельности участия, характеризующий доходность использования собственных средств, рассчитывается на основе прибыли, остающейся в распоряжении предприятия, и суммы собственных и привлеченных к ним источников. Данный показатель в практике зарубежных компаний и фирм является основным критерием при оценке стоимости предприятия, а для акционерных компаний, чьи акции подлежат котировке на фондовой бирже, - курса акций данного предприятия.</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В статье рассматриваются наиболее развитые и применяемые модели учета. Однако наличие большого количества американских компаний на российском рынке предопределяет распространенность </w:t>
      </w:r>
      <w:proofErr w:type="spellStart"/>
      <w:r w:rsidRPr="0005073B">
        <w:rPr>
          <w:rFonts w:ascii="Times New Roman" w:eastAsia="Times New Roman" w:hAnsi="Times New Roman" w:cs="Times New Roman"/>
          <w:sz w:val="24"/>
          <w:szCs w:val="24"/>
          <w:lang w:eastAsia="ru-RU"/>
        </w:rPr>
        <w:t>Generally</w:t>
      </w:r>
      <w:proofErr w:type="spellEnd"/>
      <w:r w:rsidRPr="0005073B">
        <w:rPr>
          <w:rFonts w:ascii="Times New Roman" w:eastAsia="Times New Roman" w:hAnsi="Times New Roman" w:cs="Times New Roman"/>
          <w:sz w:val="24"/>
          <w:szCs w:val="24"/>
          <w:lang w:eastAsia="ru-RU"/>
        </w:rPr>
        <w:t xml:space="preserve"> </w:t>
      </w:r>
      <w:proofErr w:type="spellStart"/>
      <w:r w:rsidRPr="0005073B">
        <w:rPr>
          <w:rFonts w:ascii="Times New Roman" w:eastAsia="Times New Roman" w:hAnsi="Times New Roman" w:cs="Times New Roman"/>
          <w:sz w:val="24"/>
          <w:szCs w:val="24"/>
          <w:lang w:eastAsia="ru-RU"/>
        </w:rPr>
        <w:t>Accepted</w:t>
      </w:r>
      <w:proofErr w:type="spellEnd"/>
      <w:r w:rsidRPr="0005073B">
        <w:rPr>
          <w:rFonts w:ascii="Times New Roman" w:eastAsia="Times New Roman" w:hAnsi="Times New Roman" w:cs="Times New Roman"/>
          <w:sz w:val="24"/>
          <w:szCs w:val="24"/>
          <w:lang w:eastAsia="ru-RU"/>
        </w:rPr>
        <w:t xml:space="preserve"> </w:t>
      </w:r>
      <w:proofErr w:type="spellStart"/>
      <w:r w:rsidRPr="0005073B">
        <w:rPr>
          <w:rFonts w:ascii="Times New Roman" w:eastAsia="Times New Roman" w:hAnsi="Times New Roman" w:cs="Times New Roman"/>
          <w:sz w:val="24"/>
          <w:szCs w:val="24"/>
          <w:lang w:eastAsia="ru-RU"/>
        </w:rPr>
        <w:t>Accounting</w:t>
      </w:r>
      <w:proofErr w:type="spellEnd"/>
      <w:r w:rsidRPr="0005073B">
        <w:rPr>
          <w:rFonts w:ascii="Times New Roman" w:eastAsia="Times New Roman" w:hAnsi="Times New Roman" w:cs="Times New Roman"/>
          <w:sz w:val="24"/>
          <w:szCs w:val="24"/>
          <w:lang w:eastAsia="ru-RU"/>
        </w:rPr>
        <w:t xml:space="preserve"> </w:t>
      </w:r>
      <w:proofErr w:type="spellStart"/>
      <w:r w:rsidRPr="0005073B">
        <w:rPr>
          <w:rFonts w:ascii="Times New Roman" w:eastAsia="Times New Roman" w:hAnsi="Times New Roman" w:cs="Times New Roman"/>
          <w:sz w:val="24"/>
          <w:szCs w:val="24"/>
          <w:lang w:eastAsia="ru-RU"/>
        </w:rPr>
        <w:t>Principles</w:t>
      </w:r>
      <w:proofErr w:type="spellEnd"/>
      <w:r w:rsidRPr="0005073B">
        <w:rPr>
          <w:rFonts w:ascii="Times New Roman" w:eastAsia="Times New Roman" w:hAnsi="Times New Roman" w:cs="Times New Roman"/>
          <w:sz w:val="24"/>
          <w:szCs w:val="24"/>
          <w:lang w:eastAsia="ru-RU"/>
        </w:rPr>
        <w:t xml:space="preserve"> (GAAP) - </w:t>
      </w:r>
      <w:r w:rsidRPr="0005073B">
        <w:rPr>
          <w:rFonts w:ascii="Times New Roman" w:eastAsia="Times New Roman" w:hAnsi="Times New Roman" w:cs="Times New Roman"/>
          <w:sz w:val="24"/>
          <w:szCs w:val="24"/>
          <w:lang w:eastAsia="ru-RU"/>
        </w:rPr>
        <w:lastRenderedPageBreak/>
        <w:t>общепринятых учетных принципов, применяемых при англо-американской модели учета. При формировании финансовой отчетности на совместном предприятии мы считаем, что можно выделить следующие этапы:</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ЭТАП I</w:t>
      </w:r>
      <w:r w:rsidRPr="0005073B">
        <w:rPr>
          <w:rFonts w:ascii="Times New Roman" w:eastAsia="Times New Roman" w:hAnsi="Times New Roman" w:cs="Times New Roman"/>
          <w:sz w:val="24"/>
          <w:szCs w:val="24"/>
          <w:lang w:eastAsia="ru-RU"/>
        </w:rPr>
        <w:t>. Обработка всех первичных документов хозяйственной деятельности фирмы и оформление соответствующих записей в "бухгалтерских книгах" в соответствии со стандартами российского законодательства.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ЭТАП II</w:t>
      </w:r>
      <w:r w:rsidRPr="0005073B">
        <w:rPr>
          <w:rFonts w:ascii="Times New Roman" w:eastAsia="Times New Roman" w:hAnsi="Times New Roman" w:cs="Times New Roman"/>
          <w:sz w:val="24"/>
          <w:szCs w:val="24"/>
          <w:lang w:eastAsia="ru-RU"/>
        </w:rPr>
        <w:t>. Интерпретация записей о всех хозяйственных операциях, отраженных на системе счетов в российских "бухгалтерских книгах" и по методологии инвестора.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ЭТАП III.</w:t>
      </w:r>
      <w:r w:rsidRPr="0005073B">
        <w:rPr>
          <w:rFonts w:ascii="Times New Roman" w:eastAsia="Times New Roman" w:hAnsi="Times New Roman" w:cs="Times New Roman"/>
          <w:sz w:val="24"/>
          <w:szCs w:val="24"/>
          <w:lang w:eastAsia="ru-RU"/>
        </w:rPr>
        <w:t xml:space="preserve"> Внесение в "бухгалтерские книги" инвестора дополнительных корректировочных записей, перераспределяющих суммы между счетами Бухгалтерского учета в соответствии с методологией учета инвестора.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ЭТАП IV.</w:t>
      </w:r>
      <w:r w:rsidRPr="0005073B">
        <w:rPr>
          <w:rFonts w:ascii="Times New Roman" w:eastAsia="Times New Roman" w:hAnsi="Times New Roman" w:cs="Times New Roman"/>
          <w:sz w:val="24"/>
          <w:szCs w:val="24"/>
          <w:lang w:eastAsia="ru-RU"/>
        </w:rPr>
        <w:t xml:space="preserve"> Процедура преобразования валют - это, по существу, процедура выражения финансовой отчетности в валюте отчета иностранного инвестора.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В статье рассмотрены все наиболее распространенные и применяемые модели учета. В связи с наличием большого числа американских компаний на российском рынке, мы подробнее останавливаемся на англо-американской модели учета, основанной </w:t>
      </w:r>
      <w:proofErr w:type="spellStart"/>
      <w:r w:rsidRPr="0005073B">
        <w:rPr>
          <w:rFonts w:ascii="Times New Roman" w:eastAsia="Times New Roman" w:hAnsi="Times New Roman" w:cs="Times New Roman"/>
          <w:sz w:val="24"/>
          <w:szCs w:val="24"/>
          <w:lang w:eastAsia="ru-RU"/>
        </w:rPr>
        <w:t>Generally</w:t>
      </w:r>
      <w:proofErr w:type="spellEnd"/>
      <w:r w:rsidRPr="0005073B">
        <w:rPr>
          <w:rFonts w:ascii="Times New Roman" w:eastAsia="Times New Roman" w:hAnsi="Times New Roman" w:cs="Times New Roman"/>
          <w:sz w:val="24"/>
          <w:szCs w:val="24"/>
          <w:lang w:eastAsia="ru-RU"/>
        </w:rPr>
        <w:t xml:space="preserve"> </w:t>
      </w:r>
      <w:proofErr w:type="spellStart"/>
      <w:r w:rsidRPr="0005073B">
        <w:rPr>
          <w:rFonts w:ascii="Times New Roman" w:eastAsia="Times New Roman" w:hAnsi="Times New Roman" w:cs="Times New Roman"/>
          <w:sz w:val="24"/>
          <w:szCs w:val="24"/>
          <w:lang w:eastAsia="ru-RU"/>
        </w:rPr>
        <w:t>Assepted</w:t>
      </w:r>
      <w:proofErr w:type="spellEnd"/>
      <w:r w:rsidRPr="0005073B">
        <w:rPr>
          <w:rFonts w:ascii="Times New Roman" w:eastAsia="Times New Roman" w:hAnsi="Times New Roman" w:cs="Times New Roman"/>
          <w:sz w:val="24"/>
          <w:szCs w:val="24"/>
          <w:lang w:eastAsia="ru-RU"/>
        </w:rPr>
        <w:t xml:space="preserve"> </w:t>
      </w:r>
      <w:proofErr w:type="spellStart"/>
      <w:r w:rsidRPr="0005073B">
        <w:rPr>
          <w:rFonts w:ascii="Times New Roman" w:eastAsia="Times New Roman" w:hAnsi="Times New Roman" w:cs="Times New Roman"/>
          <w:sz w:val="24"/>
          <w:szCs w:val="24"/>
          <w:lang w:eastAsia="ru-RU"/>
        </w:rPr>
        <w:t>Accounting</w:t>
      </w:r>
      <w:proofErr w:type="spellEnd"/>
      <w:r w:rsidRPr="0005073B">
        <w:rPr>
          <w:rFonts w:ascii="Times New Roman" w:eastAsia="Times New Roman" w:hAnsi="Times New Roman" w:cs="Times New Roman"/>
          <w:sz w:val="24"/>
          <w:szCs w:val="24"/>
          <w:lang w:eastAsia="ru-RU"/>
        </w:rPr>
        <w:t xml:space="preserve"> </w:t>
      </w:r>
      <w:proofErr w:type="spellStart"/>
      <w:r w:rsidRPr="0005073B">
        <w:rPr>
          <w:rFonts w:ascii="Times New Roman" w:eastAsia="Times New Roman" w:hAnsi="Times New Roman" w:cs="Times New Roman"/>
          <w:sz w:val="24"/>
          <w:szCs w:val="24"/>
          <w:lang w:eastAsia="ru-RU"/>
        </w:rPr>
        <w:t>Principles</w:t>
      </w:r>
      <w:proofErr w:type="spellEnd"/>
      <w:r w:rsidRPr="0005073B">
        <w:rPr>
          <w:rFonts w:ascii="Times New Roman" w:eastAsia="Times New Roman" w:hAnsi="Times New Roman" w:cs="Times New Roman"/>
          <w:sz w:val="24"/>
          <w:szCs w:val="24"/>
          <w:lang w:eastAsia="ru-RU"/>
        </w:rPr>
        <w:t xml:space="preserve"> (GAAP) на общепринятых учетных принципах. Информация, обработанная на основе этих принципов, отличается высокой информативностью, полезностью и объективностью для пользователей.</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Анализ особенностей учета в системе GAAP заканчивается рассмотрением трансформации российской отчетности в соответствии с вышеуказанными принципами учета.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Одна из трудностей ведения бухгалтерского учета на совместных предприятиях - это потребность в высококвалифицированных специалистах по ведению учета как по российской, так и по методологии учета инвестора, а также потребность в программных продуктах для ведения параллельного учета. Необходимость глубоких знаний в ведении бухгалтерского учета обосновывается потребностью в объективной и неискаженной информации о финансовых показателях как для внешних, так и для внутренних пользователей.</w:t>
      </w: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lastRenderedPageBreak/>
        <w:t xml:space="preserve">АНАЛИЗ ХОЗЯЙСТВЕННОГО СОСТОЯНИЯ АПК РОССИИ В КОНЦЕ XX ВЕКА </w:t>
      </w: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М.Р. Якубов, аспирант ТИСБИ </w:t>
      </w: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начале 90-х годов в России государственным сельскохозяйственным предприятиям (совхозам) принадлежало 56% сельскохозяйственных угодий, коллективным сельскохозяйственным предприятиям (колхозам) - 40,2%, остальным индивидуальным предприятиям и районным фондам перераспределения земли - 3,8% [1, с. 413].</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 начала 60-х до конца 80-х годов в агропромышленном комплексе России уже отмечались негативные тенденции. Значительная доля хозяйств имела низкие производственные показатели, т.к. в стране отсутствовали экономические рычаги к стимулированию труда, не работал внутрихозяйственный расчет, господствовала уравниловка в оплате труда, слабо внедрялись инновационные технологии.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Главной причиной такого положения в сельском хозяйстве было жесткое централизованное управление экономикой в стране, командные методы руководства, в том числе сельскохозяйственной отраслью. Производство, распределение сельскохозяйственной продукции и потребление продуктов питания полностью находились под государственным контролем, о конкуренции как рычаге развития качественной производительности труда в то время не могло быть и речи. Для дальнейшего динамичного развития сельского хозяйства России потребовались новые подходы и концепции с учетом негативного состояния экономики страны в целом.</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Это предопределило необходимость аграрных реформ и переход к рыночно ориентированному хозяйству. Этот переход, по нашему мнению, характеризуется тремя этапами: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 xml:space="preserve">1-й этап </w:t>
      </w:r>
      <w:r w:rsidRPr="0005073B">
        <w:rPr>
          <w:rFonts w:ascii="Times New Roman" w:eastAsia="Times New Roman" w:hAnsi="Times New Roman" w:cs="Times New Roman"/>
          <w:sz w:val="24"/>
          <w:szCs w:val="24"/>
          <w:lang w:eastAsia="ru-RU"/>
        </w:rPr>
        <w:t>- подготовка к проведению рыночных реформ, которая включает формирование правового поля, создание экономических и материально-технических предпосылок для воспроизводства хозяйств различных форм собственности, создание потенциала социальной сферы села, воспитание менталитета, уважающего право частной собственности;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2-й этап</w:t>
      </w:r>
      <w:r w:rsidRPr="0005073B">
        <w:rPr>
          <w:rFonts w:ascii="Times New Roman" w:eastAsia="Times New Roman" w:hAnsi="Times New Roman" w:cs="Times New Roman"/>
          <w:sz w:val="24"/>
          <w:szCs w:val="24"/>
          <w:lang w:eastAsia="ru-RU"/>
        </w:rPr>
        <w:t xml:space="preserve"> - разработка отечественной модели механизма проведения рыночных реформ.</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3-й этап</w:t>
      </w:r>
      <w:r w:rsidRPr="0005073B">
        <w:rPr>
          <w:rFonts w:ascii="Times New Roman" w:eastAsia="Times New Roman" w:hAnsi="Times New Roman" w:cs="Times New Roman"/>
          <w:sz w:val="24"/>
          <w:szCs w:val="24"/>
          <w:lang w:eastAsia="ru-RU"/>
        </w:rPr>
        <w:t xml:space="preserve"> - собственно проведение рыночных реформ.</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В ходе 1-го этапа в АПК России сложилась кризисная ситуация, которая характеризовалась следующими показателями. Объем выпуска продукции сельского хозяйства всеми производителями за 1991-1998 гг. уменьшился на 43,3%. Производство зерна снизилось на 45,6%, сахарной свеклы - на 50,2%, мяса - на 53,5%, молока - на 40,3%, яиц - на 31% [2, С.16-30]. Это было обусловлено низкой продуктивностью и неэффективностью сельскохозяйственного производства, с одной стороны, и с другой - его колоссальной энергоемкостью и материалоемкостью, которые, по сравнению с США, были соответственно 5:1 и 4:1. По производительности труда в сельскохозяйственной отрасли Россия отставала от развитых стран более чем в 10 раз. При этом потери зерна при уборке и хранении составляли 25 - 30%, картофеля, овощей и фруктов - 50%. [3, с. 63 -64]. Вследствие этого только в 1999 г. импорт свежемороженого мяса увеличился на 40%, сухого молока - на 28%, подсолнечного масла - на 25%, зерна пшеницы - на 40%, зерна ячменя - на 100% и сахара сырца - на 60% [4, с. 2]. В период с 1991 по 1998 гг. годовой импорт всего продовольствия в Россию в среднем составлял 26,6% [5, с. 20].</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Одновременно происходит резкое снижение плодородия почвы, так как с 1990 по 1998 гг. применение минеральных удобрений в расчете на 1 га посевов сократилось в 5,8 раза, а органических - 8,7 раза, поэтому количество вносимых удобрений не покрывало вынос питательных веществ с урожаем. Сократилось выделение целевых бюджетных субсидий на приобретение минеральных удобрений. Так, в 1998 г. сельскому хозяйству было выделено на это направление 11,3% планируемых средств [6, с. 25].</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 начала 90-х годов, когда многие отрасли и предприятия были переведены на хозяйственный расчет и самоокупаемость, резко снизились объемы финансирования сельского хозяйства со стороны государства. Если в 1991 г. доля сельского хозяйства в общих расходах федерального бюджета составляла 19%, то в 1998 г. она упала до 2,3%, а в 2000 г. уменьшилась до 0,8%. [7, с. 28]. Основными источниками финансирования инвестиций в сельское хозяйство стали собственные и заемные средства предприятий и организаций, которые составили свыше 80%. Таким образом, из-за неразвитости рыночных рычагов и почти полного отсутствия государственной поддержки финансовое положение сельскохозяйственных предприятий в течение 1991-1998 гг. ухудшалось и пришло к катастрофическому состоянию, причем эта отрицательная тенденция приняла устойчивый характер (см. табл. 1). [2, с. 27].</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Таблица 1.</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Финансовое положение сельскохозяйственных предприятий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7"/>
        <w:gridCol w:w="612"/>
        <w:gridCol w:w="540"/>
        <w:gridCol w:w="660"/>
        <w:gridCol w:w="660"/>
        <w:gridCol w:w="780"/>
      </w:tblGrid>
      <w:tr w:rsidR="0005073B" w:rsidRPr="0005073B" w:rsidTr="0005073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Показатели</w:t>
            </w:r>
          </w:p>
        </w:tc>
        <w:tc>
          <w:tcPr>
            <w:tcW w:w="63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1991 г.</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1995 г.</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1996 г.</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1997 г.</w:t>
            </w:r>
          </w:p>
        </w:tc>
        <w:tc>
          <w:tcPr>
            <w:tcW w:w="6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1998 г.</w:t>
            </w:r>
          </w:p>
        </w:tc>
      </w:tr>
      <w:tr w:rsidR="0005073B" w:rsidRPr="0005073B" w:rsidTr="0005073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Убыточные предприятия, тыс. в % от общего числа</w:t>
            </w:r>
          </w:p>
        </w:tc>
        <w:tc>
          <w:tcPr>
            <w:tcW w:w="63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1,3 5</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15,4 57</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21,3 79</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22,0 82</w:t>
            </w:r>
          </w:p>
        </w:tc>
        <w:tc>
          <w:tcPr>
            <w:tcW w:w="6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23,9 88</w:t>
            </w:r>
          </w:p>
        </w:tc>
      </w:tr>
      <w:tr w:rsidR="0005073B" w:rsidRPr="0005073B" w:rsidTr="0005073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Балансовая прибыль (убыток /-/), млрд. руб.</w:t>
            </w:r>
          </w:p>
        </w:tc>
        <w:tc>
          <w:tcPr>
            <w:tcW w:w="63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48</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1450</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-23234</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-30600</w:t>
            </w:r>
          </w:p>
        </w:tc>
        <w:tc>
          <w:tcPr>
            <w:tcW w:w="6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-36923*</w:t>
            </w:r>
          </w:p>
        </w:tc>
      </w:tr>
      <w:tr w:rsidR="0005073B" w:rsidRPr="0005073B" w:rsidTr="0005073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Уровень рентабельности (убыточности /-/), %</w:t>
            </w:r>
          </w:p>
        </w:tc>
        <w:tc>
          <w:tcPr>
            <w:tcW w:w="63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43</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-21</w:t>
            </w:r>
          </w:p>
        </w:tc>
        <w:tc>
          <w:tcPr>
            <w:tcW w:w="54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-24</w:t>
            </w:r>
          </w:p>
        </w:tc>
        <w:tc>
          <w:tcPr>
            <w:tcW w:w="61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-28</w:t>
            </w:r>
          </w:p>
        </w:tc>
      </w:tr>
      <w:tr w:rsidR="0005073B" w:rsidRPr="0005073B" w:rsidTr="0005073B">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Стоимостные цены приведены в масштабе цен на 1 января 1998 г., то есть в млн. руб.</w:t>
            </w:r>
          </w:p>
        </w:tc>
      </w:tr>
    </w:tbl>
    <w:p w:rsidR="0005073B" w:rsidRPr="0005073B" w:rsidRDefault="0005073B" w:rsidP="0005073B">
      <w:pPr>
        <w:spacing w:before="100" w:beforeAutospacing="1" w:after="100" w:afterAutospacing="1"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На финансовые результаты сельскохозяйственных предприятий повлияло удорожание производства продукции, вызванное ростом материальных затрат: в 1998 г. их доля в </w:t>
      </w:r>
      <w:proofErr w:type="gramStart"/>
      <w:r w:rsidRPr="0005073B">
        <w:rPr>
          <w:rFonts w:ascii="Times New Roman" w:eastAsia="Times New Roman" w:hAnsi="Times New Roman" w:cs="Times New Roman"/>
          <w:sz w:val="24"/>
          <w:szCs w:val="24"/>
          <w:lang w:eastAsia="ru-RU"/>
        </w:rPr>
        <w:t>общих затратах</w:t>
      </w:r>
      <w:proofErr w:type="gramEnd"/>
      <w:r w:rsidRPr="0005073B">
        <w:rPr>
          <w:rFonts w:ascii="Times New Roman" w:eastAsia="Times New Roman" w:hAnsi="Times New Roman" w:cs="Times New Roman"/>
          <w:sz w:val="24"/>
          <w:szCs w:val="24"/>
          <w:lang w:eastAsia="ru-RU"/>
        </w:rPr>
        <w:t xml:space="preserve"> достигла в сельском хозяйстве 62% против 52% в 1991 г. К началу 1999 г. общая сумма кредиторской задолженности у сельскохозяйственных предприятий (включая задолженность по займам) возросла до 123,7 млрд. руб.; просроченная задолженность составила 95,5 млрд. руб., или 77,2% от общей суммы кредиторской задолженности (на 1 января 1998 г. - 72,1%). Почти половина кредиторской задолженности пришлась на долги бюджетным и внебюджетным фондам. Высокая кредиторская задолженность аграрного сектора была во многом вызвана несвоевременной оплатой покупателями его продукции. Значительную часть задолженности составили пени за просрочку платежей.</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Важным показателем, характеризующим глубину финансового кризиса, является соотношение кредиторской и дебиторской задолженности. Если в России на начало 1999 г. по всем отраслям экономики кредиторская задолженность превышала дебиторскую в 1,7 раза, то по сельскому хозяйству - в 5,2 раза, в том числе: по животноводству - в 6,6 раза и по растениеводству - в 7,1 раза.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Главной причиной такого положения, на наш </w:t>
      </w:r>
      <w:proofErr w:type="spellStart"/>
      <w:r w:rsidRPr="0005073B">
        <w:rPr>
          <w:rFonts w:ascii="Times New Roman" w:eastAsia="Times New Roman" w:hAnsi="Times New Roman" w:cs="Times New Roman"/>
          <w:sz w:val="24"/>
          <w:szCs w:val="24"/>
          <w:lang w:eastAsia="ru-RU"/>
        </w:rPr>
        <w:t>взляд</w:t>
      </w:r>
      <w:proofErr w:type="spellEnd"/>
      <w:r w:rsidRPr="0005073B">
        <w:rPr>
          <w:rFonts w:ascii="Times New Roman" w:eastAsia="Times New Roman" w:hAnsi="Times New Roman" w:cs="Times New Roman"/>
          <w:sz w:val="24"/>
          <w:szCs w:val="24"/>
          <w:lang w:eastAsia="ru-RU"/>
        </w:rPr>
        <w:t xml:space="preserve">, являлся более быстрый рост цен на промышленные товары и услуги, оказываемые сельскому хозяйству, чем цены на сельскохозяйственные продукты. Так, за 1990-1998 гг. "ножницы цен" на </w:t>
      </w:r>
      <w:proofErr w:type="spellStart"/>
      <w:r w:rsidRPr="0005073B">
        <w:rPr>
          <w:rFonts w:ascii="Times New Roman" w:eastAsia="Times New Roman" w:hAnsi="Times New Roman" w:cs="Times New Roman"/>
          <w:sz w:val="24"/>
          <w:szCs w:val="24"/>
          <w:lang w:eastAsia="ru-RU"/>
        </w:rPr>
        <w:t>агропродукцию</w:t>
      </w:r>
      <w:proofErr w:type="spellEnd"/>
      <w:r w:rsidRPr="0005073B">
        <w:rPr>
          <w:rFonts w:ascii="Times New Roman" w:eastAsia="Times New Roman" w:hAnsi="Times New Roman" w:cs="Times New Roman"/>
          <w:sz w:val="24"/>
          <w:szCs w:val="24"/>
          <w:lang w:eastAsia="ru-RU"/>
        </w:rPr>
        <w:t xml:space="preserve"> и промышленную продукцию (услуги), потребляемые в сельском хозяйстве России, увеличились в 4,4 раза. [8, с.16]. Отсюда - дестабилизация финансов в отрасли. В данном случае, несомненно, что без стабилизации финансов в сельском хозяйстве не предоставляется возможным нормализовать расчеты и в других отраслях, создать надежный рынок сбыта машиностроительной, химической продукции, а главное - дать толчок стабилизации экономики в целом.</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Результатом кризиса в агропромышленном комплексе стала деградация его материально-технической базы. Так, техническая оснащенность сельского хозяйства к 1999 г. снизилась до 40 - 60% к уровню нормативной потребности, а изношенность наличной техники составила около 70%. В 1998 г. закупка техники, по сравнению с 1997 г., сократилась на 70%; приобретение же тракторов в сравнении с 1992 г. уменьшилось в 10 раз, а зерноуборочных комбайнов - в 25 раз. Ежегодное выбытие сельскохозяйственных машин превышало их ввод в 2,5 - 3 раза. В результате нарушились агротехнические сроки выполнения работ, возросли потери продукции. Коэффициент обновления основных фондов АПК составил всего 1% (при норме 8-10%); только 19% активной части производственных фондов соответствовало мировому уровню. [9, с. 46-47]. Ввод в действие производственных мощностей имел место лишь в отдельных хозяйствах.</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Таким образом, анализ состояния материально-технической базы сельскохозяйственных предприятий в 90-е годы показывает, что траектория кризиса в аграрной сфере близка к "точке невозврата" (фиксирующей, что процессы разрушения накопленного производственного потенциала принимают необратимый характер). В настоящее время в нашем сельском хозяйстве складывается специфический тип расширенного воспроизводства, характеризующийся преобладанием упрощенных технологий, крайней неэффективностью и неустойчивостью основных финансовых и производственных параметров.</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Большое влияние на развитие агропромышленного комплекса оказывало и оказывает состояние социальной сферы села. По данным Комитета Совета Федерации по аграрной политике Федерального Собрания России, все население России составило в среднем 146,9 млн. человек, в том числе 84,7 млн. человек (57,7%) - в трудоспособном возрасте. Сельское население составило 39,8 млн. человек, из них 14,1 млн. человек (35,4%) - в трудоспособном возрасте; 10,1 млн. человек (25,4%) - лица, не достигшие трудоспособного возраста; 15,7 млн. человек (39,2%) - пенсионеры.</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Как видно из сопоставления, трудоспособное городское население превышает трудоспособное сельское население почти в 2 раза. Вследствие этого в социальной сфере села возникла критическая ситуация, которая усугубилась рядом факторов. Так, заработная плата работников сельского хозяйства оставалась одной из самых низких в стране. На фоне общего снижения реальной заработной платы, составившего в целом по стране 49%, реальные заработки работников сельского хозяйства снизились на 70%. Уровень бедности в сельской местности практически стал вдвое выше, чем в городе.</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Картину положения сельских производителей дополняют следующие данные:</w:t>
      </w:r>
    </w:p>
    <w:p w:rsidR="0005073B" w:rsidRPr="0005073B" w:rsidRDefault="0005073B" w:rsidP="0005073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капитальные вложения в развитие социальной сферы села уменьшилось в 14,5 раза; </w:t>
      </w:r>
    </w:p>
    <w:p w:rsidR="0005073B" w:rsidRPr="0005073B" w:rsidRDefault="0005073B" w:rsidP="0005073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строительство жилья сократилось в 2,3 раза, более 65% квартир не имеет централизованного водоснабжения, канализации и центрального отопления;</w:t>
      </w:r>
    </w:p>
    <w:p w:rsidR="0005073B" w:rsidRPr="0005073B" w:rsidRDefault="0005073B" w:rsidP="0005073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ввод в действие дорог с твердым покрытием на селе сократился в 94,3 раза, а в ряде регионов практически не осуществляется; </w:t>
      </w:r>
    </w:p>
    <w:p w:rsidR="0005073B" w:rsidRPr="0005073B" w:rsidRDefault="0005073B" w:rsidP="0005073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более половины сельских малонаселенных пунктов не имеют телефона.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Состояние материальной базы образовательных, медицинских и культурных учреждений крайне неудовлетворительно. Число дошкольных учреждений на селе сократилось приблизительно на 28%, школ - на 3%; третья часть функционирующих школ нуждается в капитальном ремонте. Число больничных учреждений снизилось на 16%. Количество сельских клубов уменьшилось на 20%, четвертая часть оставшихся из них требует капитального ремонта. В 1998 г. была охвачено библиотечным обслуживанием только половина сельских жителей. [10, с. 21-29]. Эти цифры демонстрируют непривлекательность </w:t>
      </w:r>
      <w:r w:rsidRPr="0005073B">
        <w:rPr>
          <w:rFonts w:ascii="Times New Roman" w:eastAsia="Times New Roman" w:hAnsi="Times New Roman" w:cs="Times New Roman"/>
          <w:sz w:val="24"/>
          <w:szCs w:val="24"/>
          <w:lang w:eastAsia="ru-RU"/>
        </w:rPr>
        <w:lastRenderedPageBreak/>
        <w:t>сельского образа жизни, а значит, прогнозируют большие сложности в становлении и развитии рыночной системы хозяйствования на селе.</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связи с этим остро встал вопрос о состоянии рабочих мест в агропромышленном комплексе. За 1991 - 1997 гг. численность работников, занятых в сельскохозяйственном производстве, снизилась на 2,7 млн. человек. Так, только в 1997 г. увольнение с сельхозпредприятий превысило прием на работу в 1,5 раза, но из 1,2 млн. выбывших 75% уволилось по собственному желанию и менее 5% - в связи с сокращением персонала. Общая численность сельских безработных в 1996 г. достигла 1,4 млн. человек, или 9,93% к экономически активному сельскому населению. Этот показатель приближается к критическому, составляющему по оценке ООН 10%.</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 последнее время на селе практически не создавались новые рабочие места, поэтому сельская безработица приняла застойный характер. Можно предположить, что создание новых рабочих мест в агропромышленном комплексе может сыграть роль пускового механизма, с помощью которого удастся оживить не только сельскохозяйственную отрасль, но и многие другие сферы деятельности страны [11, с. 6-7].</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Подводя итоги анализа хозяйственной деятельности АПК в последнее десятилетие ХХ века, можно констатировать:</w:t>
      </w:r>
    </w:p>
    <w:p w:rsidR="0005073B" w:rsidRPr="0005073B" w:rsidRDefault="0005073B" w:rsidP="0005073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АПК находится в крайне тяжелом финансовом и хозяйственно-экономическом положении, причиной которого является разбалансированность старой (советской) системы хозяйствования и незавершенность формирования новой (рыночной) системы хозяйствования;</w:t>
      </w:r>
    </w:p>
    <w:p w:rsidR="0005073B" w:rsidRPr="0005073B" w:rsidRDefault="0005073B" w:rsidP="0005073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При советской системе хозяйствования в АПК традиционно производились большие финансовые вливания для поддержания жизни в большинстве своем нерентабельных колхозов и совхозов. В последнее время они (вливания) сократились до минимума, что сразу же повлекло за собой кризис отрасли. В системе рыночных отношений действуют другие механизмы, которые в силу объективных и субъективных причин еще не адаптировались к российской действительности.</w:t>
      </w:r>
    </w:p>
    <w:p w:rsidR="0005073B" w:rsidRPr="0005073B" w:rsidRDefault="0005073B" w:rsidP="0005073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Время разработки механизма проведения рыночных реформ и их осуществление настало сейчас, когда до критического состояния доведены все параметры АПК. В противном случае необратимость процессов распада сельскохозяйственной отрасли может привести к серьезным деформациям в демократическом развитии России.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Литература:</w:t>
      </w:r>
    </w:p>
    <w:p w:rsidR="0005073B" w:rsidRPr="0005073B" w:rsidRDefault="0005073B" w:rsidP="0005073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Серова Е.В. Аграрная экономика. - М.: ГУ ВШЭ, 1999. </w:t>
      </w:r>
    </w:p>
    <w:p w:rsidR="0005073B" w:rsidRPr="0005073B" w:rsidRDefault="0005073B" w:rsidP="0005073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Сельское хозяйство Российской Федерации в 1991-1998 годах (экономический обзор) // АПК: экономика, управление. - 1999. - №11. </w:t>
      </w:r>
    </w:p>
    <w:p w:rsidR="0005073B" w:rsidRPr="0005073B" w:rsidRDefault="0005073B" w:rsidP="0005073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Балгазин</w:t>
      </w:r>
      <w:proofErr w:type="spellEnd"/>
      <w:r w:rsidRPr="0005073B">
        <w:rPr>
          <w:rFonts w:ascii="Times New Roman" w:eastAsia="Times New Roman" w:hAnsi="Times New Roman" w:cs="Times New Roman"/>
          <w:sz w:val="24"/>
          <w:szCs w:val="24"/>
          <w:lang w:eastAsia="ru-RU"/>
        </w:rPr>
        <w:t xml:space="preserve"> И.А. Рынок и экономическая самостоятельность сельского района. </w:t>
      </w:r>
      <w:proofErr w:type="gramStart"/>
      <w:r w:rsidRPr="0005073B">
        <w:rPr>
          <w:rFonts w:ascii="Times New Roman" w:eastAsia="Times New Roman" w:hAnsi="Times New Roman" w:cs="Times New Roman"/>
          <w:sz w:val="24"/>
          <w:szCs w:val="24"/>
          <w:lang w:eastAsia="ru-RU"/>
        </w:rPr>
        <w:t>Уфа.:</w:t>
      </w:r>
      <w:proofErr w:type="gramEnd"/>
      <w:r w:rsidRPr="0005073B">
        <w:rPr>
          <w:rFonts w:ascii="Times New Roman" w:eastAsia="Times New Roman" w:hAnsi="Times New Roman" w:cs="Times New Roman"/>
          <w:sz w:val="24"/>
          <w:szCs w:val="24"/>
          <w:lang w:eastAsia="ru-RU"/>
        </w:rPr>
        <w:t xml:space="preserve"> </w:t>
      </w:r>
      <w:proofErr w:type="spellStart"/>
      <w:r w:rsidRPr="0005073B">
        <w:rPr>
          <w:rFonts w:ascii="Times New Roman" w:eastAsia="Times New Roman" w:hAnsi="Times New Roman" w:cs="Times New Roman"/>
          <w:sz w:val="24"/>
          <w:szCs w:val="24"/>
          <w:lang w:eastAsia="ru-RU"/>
        </w:rPr>
        <w:t>Гилем</w:t>
      </w:r>
      <w:proofErr w:type="spellEnd"/>
      <w:r w:rsidRPr="0005073B">
        <w:rPr>
          <w:rFonts w:ascii="Times New Roman" w:eastAsia="Times New Roman" w:hAnsi="Times New Roman" w:cs="Times New Roman"/>
          <w:sz w:val="24"/>
          <w:szCs w:val="24"/>
          <w:lang w:eastAsia="ru-RU"/>
        </w:rPr>
        <w:t xml:space="preserve">, 1996. - 164 с. </w:t>
      </w:r>
    </w:p>
    <w:p w:rsidR="0005073B" w:rsidRPr="0005073B" w:rsidRDefault="0005073B" w:rsidP="0005073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xml:space="preserve">Российский импорт продовольствия // Экономика сельского хозяйства России. - 2000. - №3. </w:t>
      </w:r>
    </w:p>
    <w:p w:rsidR="0005073B" w:rsidRPr="0005073B" w:rsidRDefault="0005073B" w:rsidP="0005073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Коробейников М. Агропромышленный комплекс России в системе мирового промышленного хозяйства // Международный сельскохозяйственный журнал. - 2000. - №3. </w:t>
      </w:r>
    </w:p>
    <w:p w:rsidR="0005073B" w:rsidRPr="0005073B" w:rsidRDefault="0005073B" w:rsidP="0005073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Зельднер</w:t>
      </w:r>
      <w:proofErr w:type="spellEnd"/>
      <w:r w:rsidRPr="0005073B">
        <w:rPr>
          <w:rFonts w:ascii="Times New Roman" w:eastAsia="Times New Roman" w:hAnsi="Times New Roman" w:cs="Times New Roman"/>
          <w:sz w:val="24"/>
          <w:szCs w:val="24"/>
          <w:lang w:eastAsia="ru-RU"/>
        </w:rPr>
        <w:t xml:space="preserve"> А. Аграрный сектор на пороге XXI века: реальность и перспективы // Международный сельскохозяйственный журнал. - 1999. - №4. </w:t>
      </w:r>
    </w:p>
    <w:p w:rsidR="0005073B" w:rsidRPr="0005073B" w:rsidRDefault="0005073B" w:rsidP="0005073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Горин В. Слагаемые наших успехов // Экономика сельского хозяйства России. - 2000. - №2. </w:t>
      </w:r>
    </w:p>
    <w:p w:rsidR="0005073B" w:rsidRPr="0005073B" w:rsidRDefault="0005073B" w:rsidP="0005073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О </w:t>
      </w:r>
      <w:proofErr w:type="spellStart"/>
      <w:r w:rsidRPr="0005073B">
        <w:rPr>
          <w:rFonts w:ascii="Times New Roman" w:eastAsia="Times New Roman" w:hAnsi="Times New Roman" w:cs="Times New Roman"/>
          <w:sz w:val="24"/>
          <w:szCs w:val="24"/>
          <w:lang w:eastAsia="ru-RU"/>
        </w:rPr>
        <w:t>диспаритете</w:t>
      </w:r>
      <w:proofErr w:type="spellEnd"/>
      <w:r w:rsidRPr="0005073B">
        <w:rPr>
          <w:rFonts w:ascii="Times New Roman" w:eastAsia="Times New Roman" w:hAnsi="Times New Roman" w:cs="Times New Roman"/>
          <w:sz w:val="24"/>
          <w:szCs w:val="24"/>
          <w:lang w:eastAsia="ru-RU"/>
        </w:rPr>
        <w:t xml:space="preserve"> цен на продукцию сельского хозяйства и материальные ресурсы, поставляемые сельхозпроизводителями // Экономика сельского хозяйства России. - 1999. - №9.</w:t>
      </w:r>
    </w:p>
    <w:p w:rsidR="0005073B" w:rsidRPr="0005073B" w:rsidRDefault="0005073B" w:rsidP="0005073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5073B">
        <w:rPr>
          <w:rFonts w:ascii="Times New Roman" w:eastAsia="Times New Roman" w:hAnsi="Times New Roman" w:cs="Times New Roman"/>
          <w:sz w:val="24"/>
          <w:szCs w:val="24"/>
          <w:lang w:eastAsia="ru-RU"/>
        </w:rPr>
        <w:t>Гумеров</w:t>
      </w:r>
      <w:proofErr w:type="spellEnd"/>
      <w:r w:rsidRPr="0005073B">
        <w:rPr>
          <w:rFonts w:ascii="Times New Roman" w:eastAsia="Times New Roman" w:hAnsi="Times New Roman" w:cs="Times New Roman"/>
          <w:sz w:val="24"/>
          <w:szCs w:val="24"/>
          <w:lang w:eastAsia="ru-RU"/>
        </w:rPr>
        <w:t xml:space="preserve"> Р. Инвестиционный кризис в АПК: причины, последствия, пути преодоления // Российский экономический журнал. - 2000. - №2. </w:t>
      </w:r>
    </w:p>
    <w:p w:rsidR="0005073B" w:rsidRPr="0005073B" w:rsidRDefault="0005073B" w:rsidP="0005073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Дейнеко В., Торопов Д. Социальное развитие села: проблемы и тенденции // АПК: экономика, управление. - 2000. - №5. 11. </w:t>
      </w:r>
      <w:proofErr w:type="spellStart"/>
      <w:r w:rsidRPr="0005073B">
        <w:rPr>
          <w:rFonts w:ascii="Times New Roman" w:eastAsia="Times New Roman" w:hAnsi="Times New Roman" w:cs="Times New Roman"/>
          <w:sz w:val="24"/>
          <w:szCs w:val="24"/>
          <w:lang w:eastAsia="ru-RU"/>
        </w:rPr>
        <w:t>Ушачев</w:t>
      </w:r>
      <w:proofErr w:type="spellEnd"/>
      <w:r w:rsidRPr="0005073B">
        <w:rPr>
          <w:rFonts w:ascii="Times New Roman" w:eastAsia="Times New Roman" w:hAnsi="Times New Roman" w:cs="Times New Roman"/>
          <w:sz w:val="24"/>
          <w:szCs w:val="24"/>
          <w:lang w:eastAsia="ru-RU"/>
        </w:rPr>
        <w:t xml:space="preserve"> И., Бондаренко Л., Панков Б. Рабочие места в АПК: перспектива создания и сохранения // Международный сельскохозяйственный журнал. - 1999. - №2. </w:t>
      </w: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Default="0005073B">
      <w:pPr>
        <w:rPr>
          <w:rFonts w:ascii="Times New Roman" w:hAnsi="Times New Roman" w:cs="Times New Roman"/>
          <w:sz w:val="28"/>
          <w:szCs w:val="28"/>
        </w:rPr>
      </w:pP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lastRenderedPageBreak/>
        <w:t xml:space="preserve">ГОСУДАРСТВЕННОЕ РЕГУЛИРОВАНИЕ И ПОДДЕРЖКА АГРАРНОГО СЕКТОРА </w:t>
      </w: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 xml:space="preserve">М.Г. </w:t>
      </w:r>
      <w:proofErr w:type="spellStart"/>
      <w:r w:rsidRPr="0005073B">
        <w:rPr>
          <w:rFonts w:ascii="Times New Roman" w:eastAsia="Times New Roman" w:hAnsi="Times New Roman" w:cs="Times New Roman"/>
          <w:b/>
          <w:bCs/>
          <w:sz w:val="24"/>
          <w:szCs w:val="24"/>
          <w:lang w:eastAsia="ru-RU"/>
        </w:rPr>
        <w:t>Ахмадеев</w:t>
      </w:r>
      <w:proofErr w:type="spellEnd"/>
      <w:r w:rsidRPr="0005073B">
        <w:rPr>
          <w:rFonts w:ascii="Times New Roman" w:eastAsia="Times New Roman" w:hAnsi="Times New Roman" w:cs="Times New Roman"/>
          <w:b/>
          <w:bCs/>
          <w:sz w:val="24"/>
          <w:szCs w:val="24"/>
          <w:lang w:eastAsia="ru-RU"/>
        </w:rPr>
        <w:t xml:space="preserve">, д.э.н., профессор, ИСЭПН АНТ, М.Г. </w:t>
      </w:r>
      <w:proofErr w:type="spellStart"/>
      <w:r w:rsidRPr="0005073B">
        <w:rPr>
          <w:rFonts w:ascii="Times New Roman" w:eastAsia="Times New Roman" w:hAnsi="Times New Roman" w:cs="Times New Roman"/>
          <w:b/>
          <w:bCs/>
          <w:sz w:val="24"/>
          <w:szCs w:val="24"/>
          <w:lang w:eastAsia="ru-RU"/>
        </w:rPr>
        <w:t>Гараев</w:t>
      </w:r>
      <w:proofErr w:type="spellEnd"/>
      <w:r w:rsidRPr="0005073B">
        <w:rPr>
          <w:rFonts w:ascii="Times New Roman" w:eastAsia="Times New Roman" w:hAnsi="Times New Roman" w:cs="Times New Roman"/>
          <w:b/>
          <w:bCs/>
          <w:sz w:val="24"/>
          <w:szCs w:val="24"/>
          <w:lang w:eastAsia="ru-RU"/>
        </w:rPr>
        <w:t xml:space="preserve">, аспирант ТИСБИ </w:t>
      </w:r>
    </w:p>
    <w:p w:rsidR="0005073B" w:rsidRPr="0005073B" w:rsidRDefault="0005073B" w:rsidP="0005073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i/>
          <w:iCs/>
          <w:sz w:val="24"/>
          <w:szCs w:val="24"/>
          <w:lang w:eastAsia="ru-RU"/>
        </w:rPr>
        <w:t>Государственное регулирование, формы государственной поддержки, бюджетные средства, источники финансирования, налоговая политика.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Система государственного регулирования и поддержки агропромышленного комплекса в настоящее время не срабатывает, требуется ее серьезное совершенствование. Выделяют ряд принципов, на которых должна базироваться система государственной поддержки сельского хозяйства:</w:t>
      </w:r>
    </w:p>
    <w:p w:rsidR="0005073B" w:rsidRPr="0005073B" w:rsidRDefault="0005073B" w:rsidP="0005073B">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сельскохозяйственным товаропроизводителям необходимо работать на основе самофинансирования, меры поддержки со стороны государства являются лишь дополнительными в обеспечении нормальных экономических условий хозяйствования;</w:t>
      </w:r>
    </w:p>
    <w:p w:rsidR="0005073B" w:rsidRPr="0005073B" w:rsidRDefault="0005073B" w:rsidP="0005073B">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субсидии, дотации, льготы и другие регулирующие рычаги и инструменты должны ориентировать товаропроизводителей на более эффективное хозяйствование, их надо применять строго дифференцированно; </w:t>
      </w:r>
    </w:p>
    <w:p w:rsidR="0005073B" w:rsidRPr="0005073B" w:rsidRDefault="0005073B" w:rsidP="0005073B">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систему государственного регулирования и поддержки следует строить по целевым программам, с тем чтобы учитывать региональные особенности и условия, стимулировать приоритетные направления развития производства, формирование новых организационно-правовых форм хозяйствования, исключать непроизводительные затраты.</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Правильность такого подхода подтверждает мировой опыт. В частности, опыт США, где государство осуществляет широкую финансовую поддержку сельского хозяйства путем субсидирования. В США для количественной оценки воздействия мер государственного регулирования на деятельность сельхозпроизводителей существует специальный экономический показатель - эквивалент субсидирования товаропроизводителей (PSE - </w:t>
      </w:r>
      <w:proofErr w:type="spellStart"/>
      <w:r w:rsidRPr="0005073B">
        <w:rPr>
          <w:rFonts w:ascii="Times New Roman" w:eastAsia="Times New Roman" w:hAnsi="Times New Roman" w:cs="Times New Roman"/>
          <w:sz w:val="24"/>
          <w:szCs w:val="24"/>
          <w:lang w:eastAsia="ru-RU"/>
        </w:rPr>
        <w:t>producer</w:t>
      </w:r>
      <w:proofErr w:type="spellEnd"/>
      <w:r w:rsidRPr="0005073B">
        <w:rPr>
          <w:rFonts w:ascii="Times New Roman" w:eastAsia="Times New Roman" w:hAnsi="Times New Roman" w:cs="Times New Roman"/>
          <w:sz w:val="24"/>
          <w:szCs w:val="24"/>
          <w:lang w:eastAsia="ru-RU"/>
        </w:rPr>
        <w:t xml:space="preserve"> </w:t>
      </w:r>
      <w:proofErr w:type="spellStart"/>
      <w:r w:rsidRPr="0005073B">
        <w:rPr>
          <w:rFonts w:ascii="Times New Roman" w:eastAsia="Times New Roman" w:hAnsi="Times New Roman" w:cs="Times New Roman"/>
          <w:sz w:val="24"/>
          <w:szCs w:val="24"/>
          <w:lang w:eastAsia="ru-RU"/>
        </w:rPr>
        <w:t>subsidy</w:t>
      </w:r>
      <w:proofErr w:type="spellEnd"/>
      <w:r w:rsidRPr="0005073B">
        <w:rPr>
          <w:rFonts w:ascii="Times New Roman" w:eastAsia="Times New Roman" w:hAnsi="Times New Roman" w:cs="Times New Roman"/>
          <w:sz w:val="24"/>
          <w:szCs w:val="24"/>
          <w:lang w:eastAsia="ru-RU"/>
        </w:rPr>
        <w:t xml:space="preserve"> </w:t>
      </w:r>
      <w:proofErr w:type="spellStart"/>
      <w:r w:rsidRPr="0005073B">
        <w:rPr>
          <w:rFonts w:ascii="Times New Roman" w:eastAsia="Times New Roman" w:hAnsi="Times New Roman" w:cs="Times New Roman"/>
          <w:sz w:val="24"/>
          <w:szCs w:val="24"/>
          <w:lang w:eastAsia="ru-RU"/>
        </w:rPr>
        <w:t>equivalent</w:t>
      </w:r>
      <w:proofErr w:type="spellEnd"/>
      <w:r w:rsidRPr="0005073B">
        <w:rPr>
          <w:rFonts w:ascii="Times New Roman" w:eastAsia="Times New Roman" w:hAnsi="Times New Roman" w:cs="Times New Roman"/>
          <w:sz w:val="24"/>
          <w:szCs w:val="24"/>
          <w:lang w:eastAsia="ru-RU"/>
        </w:rPr>
        <w:t>) - ПСЕ. Он измеряет стоимость денежных трансфертов, направляемых фермерам потребителями сельхозпродукции и налогоплательщиками в результате проведения мер в рамках аграрной политики. Согласно принятой методике расчета ПСЕ складывается из следующих частей.</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Регулирование цен</w:t>
      </w:r>
      <w:r w:rsidRPr="0005073B">
        <w:rPr>
          <w:rFonts w:ascii="Times New Roman" w:eastAsia="Times New Roman" w:hAnsi="Times New Roman" w:cs="Times New Roman"/>
          <w:sz w:val="24"/>
          <w:szCs w:val="24"/>
          <w:lang w:eastAsia="ru-RU"/>
        </w:rPr>
        <w:t xml:space="preserve"> на различных этапах маркетинговой деятельности.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Поддержка дохода фермеров</w:t>
      </w:r>
      <w:r w:rsidRPr="0005073B">
        <w:rPr>
          <w:rFonts w:ascii="Times New Roman" w:eastAsia="Times New Roman" w:hAnsi="Times New Roman" w:cs="Times New Roman"/>
          <w:sz w:val="24"/>
          <w:szCs w:val="24"/>
          <w:lang w:eastAsia="ru-RU"/>
        </w:rPr>
        <w:t xml:space="preserve"> - прямые или непрямые денежные трансферты между государством и производителями. Поддержка в приобретении сырья - установление и </w:t>
      </w:r>
      <w:r w:rsidRPr="0005073B">
        <w:rPr>
          <w:rFonts w:ascii="Times New Roman" w:eastAsia="Times New Roman" w:hAnsi="Times New Roman" w:cs="Times New Roman"/>
          <w:sz w:val="24"/>
          <w:szCs w:val="24"/>
          <w:lang w:eastAsia="ru-RU"/>
        </w:rPr>
        <w:lastRenderedPageBreak/>
        <w:t>выплата различных субсидий на покупку сырья и материалов, используемых в сельскохозяйственном производстве, в том числе на покупку минеральных удобрений, кормов, пестицидов; предоставление льготных кредитов; осуществление специального льготного страхования; субсидии на использование воды для орошения. Региональная поддержка осуществляется на уровне правительств и бюджетов штатов.</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Стимулирование роста</w:t>
      </w:r>
      <w:r w:rsidRPr="0005073B">
        <w:rPr>
          <w:rFonts w:ascii="Times New Roman" w:eastAsia="Times New Roman" w:hAnsi="Times New Roman" w:cs="Times New Roman"/>
          <w:sz w:val="24"/>
          <w:szCs w:val="24"/>
          <w:lang w:eastAsia="ru-RU"/>
        </w:rPr>
        <w:t xml:space="preserve"> эффективности производства путем поддержки развития "инфраструктуры" - научно-исследовательская и внедренческая деятельность; субсидии на сооружение построек производственного назначения; программы по улучшению качества земель. Поддержка маркетинга продукции - программы развития рынка; субсидии на хранение и транспортировку сельхозпродукции; инспекция и контроль качества.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i/>
          <w:iCs/>
          <w:sz w:val="24"/>
          <w:szCs w:val="24"/>
          <w:lang w:eastAsia="ru-RU"/>
        </w:rPr>
        <w:t>Общеэкономическая поддержка</w:t>
      </w:r>
      <w:r w:rsidRPr="0005073B">
        <w:rPr>
          <w:rFonts w:ascii="Times New Roman" w:eastAsia="Times New Roman" w:hAnsi="Times New Roman" w:cs="Times New Roman"/>
          <w:sz w:val="24"/>
          <w:szCs w:val="24"/>
          <w:lang w:eastAsia="ru-RU"/>
        </w:rPr>
        <w:t xml:space="preserve"> специально не направлена на поддержание аграрного сектора, однако оказывает огромное воздействие на его состояние: обменный курс национальной валюты; государственная налоговая политика; предоставление субсидий на транспортные перевозки и т.д.</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По расчетам американских экспертов, в 80-х - начале 90-х годов государственная поддержка </w:t>
      </w:r>
      <w:proofErr w:type="spellStart"/>
      <w:r w:rsidRPr="0005073B">
        <w:rPr>
          <w:rFonts w:ascii="Times New Roman" w:eastAsia="Times New Roman" w:hAnsi="Times New Roman" w:cs="Times New Roman"/>
          <w:sz w:val="24"/>
          <w:szCs w:val="24"/>
          <w:lang w:eastAsia="ru-RU"/>
        </w:rPr>
        <w:t>сельхозтоваропроизводителей</w:t>
      </w:r>
      <w:proofErr w:type="spellEnd"/>
      <w:r w:rsidRPr="0005073B">
        <w:rPr>
          <w:rFonts w:ascii="Times New Roman" w:eastAsia="Times New Roman" w:hAnsi="Times New Roman" w:cs="Times New Roman"/>
          <w:sz w:val="24"/>
          <w:szCs w:val="24"/>
          <w:lang w:eastAsia="ru-RU"/>
        </w:rPr>
        <w:t xml:space="preserve"> в США составляла (для 12 основных видов сельхозпродукции) 23% общей стоимости произведенной продукции. Иначе говоря, государство за счет различных форм поддержки обеспечивало своеобразную "доплату" фермерам. При этом поддержка распределялась неравномерно по годам и видам продукции. Так, в 1986 г. на долю государства приходилось более трети полученных товаропроизводителями средств. Среди поддерживаемых государством видов сельхозпродукции на первом месте сахар. При том, что доля его в суммарной стоимости сельскохозяйственных продуктов не превышала 1,6%, на его приходилось около 4% средств поддержки. За ним по относительному уровню поддержки следуют молоко (молочные продукты) и рис. В очень незначительной степени в сравнении с объемами производство поддерживалось производство мяса. Несмотря на то, что его доля в суммарном объеме средств, полученных производителями от продаж 12 важнейших видов сельхозпродукции, превышала 40%, на него приходилось всего 13,5% всех государственных трансфертов "помощи" (государство и рынок: американская модель. - М., 1999. - С. 367) (См. табл.1).</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Таблица 1</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Эквивалент субсидирования сельскохозяйственных товаропроизводителей США (ПСЕ), млрд. долл.</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61"/>
        <w:gridCol w:w="540"/>
        <w:gridCol w:w="540"/>
        <w:gridCol w:w="540"/>
        <w:gridCol w:w="540"/>
        <w:gridCol w:w="540"/>
        <w:gridCol w:w="540"/>
        <w:gridCol w:w="1038"/>
      </w:tblGrid>
      <w:tr w:rsidR="0005073B" w:rsidRPr="0005073B" w:rsidTr="000507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1987</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1988</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1989</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1991</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1992</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1984-1992</w:t>
            </w:r>
          </w:p>
        </w:tc>
      </w:tr>
      <w:tr w:rsidR="0005073B" w:rsidRPr="0005073B" w:rsidTr="000507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Получено аграрным сектором,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34,9</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25,4</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21,5</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233,6</w:t>
            </w:r>
          </w:p>
        </w:tc>
      </w:tr>
      <w:tr w:rsidR="0005073B" w:rsidRPr="0005073B" w:rsidTr="000507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В том числе: регулирование цен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99,4</w:t>
            </w:r>
          </w:p>
        </w:tc>
      </w:tr>
      <w:tr w:rsidR="0005073B" w:rsidRPr="0005073B" w:rsidTr="000507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Поддержка дохода фермера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69,5</w:t>
            </w:r>
          </w:p>
        </w:tc>
      </w:tr>
      <w:tr w:rsidR="0005073B" w:rsidRPr="0005073B" w:rsidTr="000507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Поддержка в приобретении сырья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24,7</w:t>
            </w:r>
          </w:p>
        </w:tc>
      </w:tr>
      <w:tr w:rsidR="0005073B" w:rsidRPr="0005073B" w:rsidTr="000507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Региональная поддержка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13,9</w:t>
            </w:r>
          </w:p>
        </w:tc>
      </w:tr>
      <w:tr w:rsidR="0005073B" w:rsidRPr="0005073B" w:rsidTr="000507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Стимулирование роста эффективности производства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10</w:t>
            </w:r>
          </w:p>
        </w:tc>
      </w:tr>
      <w:tr w:rsidR="0005073B" w:rsidRPr="0005073B" w:rsidTr="000507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Поддержка маркетинга продукции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8,8</w:t>
            </w:r>
          </w:p>
        </w:tc>
      </w:tr>
      <w:tr w:rsidR="0005073B" w:rsidRPr="0005073B" w:rsidTr="000507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Общеэкономическая поддержка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7,3</w:t>
            </w:r>
          </w:p>
        </w:tc>
      </w:tr>
    </w:tbl>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Деятельность Министерства сельского хозяйства США и других правительственных организаций распространяется как на внутренний, так и на внешний рынок сельскохозяйственных товаров. В России ухудшению ситуации в сельском хозяйстве способствовало существенное ослабление государственной поддержки сельскохозяйственных товаропроизводителей. Так, в 1998г. на поддержку сельскохозяйственных предприятий системы Минсельхозпрода России из федерального бюджета с учетом ассигнований по разделу "Земельные ресурсы" было выделено всего 3,6 </w:t>
      </w:r>
      <w:proofErr w:type="spellStart"/>
      <w:r w:rsidRPr="0005073B">
        <w:rPr>
          <w:rFonts w:ascii="Times New Roman" w:eastAsia="Times New Roman" w:hAnsi="Times New Roman" w:cs="Times New Roman"/>
          <w:sz w:val="24"/>
          <w:szCs w:val="24"/>
          <w:lang w:eastAsia="ru-RU"/>
        </w:rPr>
        <w:t>млрд.руб</w:t>
      </w:r>
      <w:proofErr w:type="spellEnd"/>
      <w:r w:rsidRPr="0005073B">
        <w:rPr>
          <w:rFonts w:ascii="Times New Roman" w:eastAsia="Times New Roman" w:hAnsi="Times New Roman" w:cs="Times New Roman"/>
          <w:sz w:val="24"/>
          <w:szCs w:val="24"/>
          <w:lang w:eastAsia="ru-RU"/>
        </w:rPr>
        <w:t>., что составило лишь треть намеченного. (Здесь и далее все денежные показатели даны в деноминированных рублях.) При этом основное внимание уделялось поддержке слабых хозяйств, в итоге положение предприятий не улучшалось, а выделенные средства распылялись (см. табл. 2).</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Таблица 2</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Объем и структура бюджетных средств для сельского хозяйства России</w:t>
      </w:r>
      <w:hyperlink r:id="rId6" w:anchor="2" w:history="1">
        <w:r w:rsidRPr="0005073B">
          <w:rPr>
            <w:rFonts w:ascii="Times New Roman" w:eastAsia="Times New Roman" w:hAnsi="Times New Roman" w:cs="Times New Roman"/>
            <w:b/>
            <w:bCs/>
            <w:color w:val="0000FF"/>
            <w:sz w:val="24"/>
            <w:szCs w:val="24"/>
            <w:u w:val="single"/>
            <w:vertAlign w:val="superscript"/>
            <w:lang w:eastAsia="ru-RU"/>
          </w:rPr>
          <w:t>2</w:t>
        </w:r>
      </w:hyperlink>
      <w:r w:rsidRPr="0005073B">
        <w:rPr>
          <w:rFonts w:ascii="Times New Roman" w:eastAsia="Times New Roman" w:hAnsi="Times New Roman" w:cs="Times New Roman"/>
          <w:b/>
          <w:bCs/>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79"/>
        <w:gridCol w:w="540"/>
        <w:gridCol w:w="540"/>
        <w:gridCol w:w="540"/>
        <w:gridCol w:w="540"/>
      </w:tblGrid>
      <w:tr w:rsidR="0005073B" w:rsidRPr="0005073B" w:rsidTr="0005073B">
        <w:trPr>
          <w:tblCellSpacing w:w="0" w:type="dxa"/>
        </w:trPr>
        <w:tc>
          <w:tcPr>
            <w:tcW w:w="808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43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1995</w:t>
            </w:r>
          </w:p>
        </w:tc>
        <w:tc>
          <w:tcPr>
            <w:tcW w:w="40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1996</w:t>
            </w:r>
          </w:p>
        </w:tc>
        <w:tc>
          <w:tcPr>
            <w:tcW w:w="42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1997</w:t>
            </w:r>
          </w:p>
        </w:tc>
        <w:tc>
          <w:tcPr>
            <w:tcW w:w="37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1998</w:t>
            </w:r>
          </w:p>
        </w:tc>
      </w:tr>
      <w:tr w:rsidR="0005073B" w:rsidRPr="0005073B" w:rsidTr="0005073B">
        <w:trPr>
          <w:tblCellSpacing w:w="0" w:type="dxa"/>
        </w:trPr>
        <w:tc>
          <w:tcPr>
            <w:tcW w:w="808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Фактические расходы по отрасли (включая рыболовство):</w:t>
            </w:r>
          </w:p>
        </w:tc>
        <w:tc>
          <w:tcPr>
            <w:tcW w:w="4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40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37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r>
      <w:tr w:rsidR="0005073B" w:rsidRPr="0005073B" w:rsidTr="0005073B">
        <w:trPr>
          <w:tblCellSpacing w:w="0" w:type="dxa"/>
        </w:trPr>
        <w:tc>
          <w:tcPr>
            <w:tcW w:w="808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Консолидируемый бюджет, млрд. руб.</w:t>
            </w:r>
          </w:p>
        </w:tc>
        <w:tc>
          <w:tcPr>
            <w:tcW w:w="4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20,4</w:t>
            </w:r>
          </w:p>
        </w:tc>
        <w:tc>
          <w:tcPr>
            <w:tcW w:w="40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25,2</w:t>
            </w:r>
          </w:p>
        </w:tc>
        <w:tc>
          <w:tcPr>
            <w:tcW w:w="42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31,3</w:t>
            </w:r>
          </w:p>
        </w:tc>
        <w:tc>
          <w:tcPr>
            <w:tcW w:w="37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19,4</w:t>
            </w:r>
          </w:p>
        </w:tc>
      </w:tr>
      <w:tr w:rsidR="0005073B" w:rsidRPr="0005073B" w:rsidTr="0005073B">
        <w:trPr>
          <w:tblCellSpacing w:w="0" w:type="dxa"/>
        </w:trPr>
        <w:tc>
          <w:tcPr>
            <w:tcW w:w="808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Федеральный бюджет, %</w:t>
            </w:r>
          </w:p>
        </w:tc>
        <w:tc>
          <w:tcPr>
            <w:tcW w:w="4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30,4</w:t>
            </w:r>
          </w:p>
        </w:tc>
        <w:tc>
          <w:tcPr>
            <w:tcW w:w="40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33,7</w:t>
            </w:r>
          </w:p>
        </w:tc>
        <w:tc>
          <w:tcPr>
            <w:tcW w:w="42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38,7</w:t>
            </w:r>
          </w:p>
        </w:tc>
        <w:tc>
          <w:tcPr>
            <w:tcW w:w="37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16,5</w:t>
            </w:r>
          </w:p>
        </w:tc>
      </w:tr>
      <w:tr w:rsidR="0005073B" w:rsidRPr="0005073B" w:rsidTr="0005073B">
        <w:trPr>
          <w:tblCellSpacing w:w="0" w:type="dxa"/>
        </w:trPr>
        <w:tc>
          <w:tcPr>
            <w:tcW w:w="808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Бюджеты субъектов РФ, %</w:t>
            </w:r>
          </w:p>
        </w:tc>
        <w:tc>
          <w:tcPr>
            <w:tcW w:w="4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69,6</w:t>
            </w:r>
          </w:p>
        </w:tc>
        <w:tc>
          <w:tcPr>
            <w:tcW w:w="40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66,3</w:t>
            </w:r>
          </w:p>
        </w:tc>
        <w:tc>
          <w:tcPr>
            <w:tcW w:w="42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61,3</w:t>
            </w:r>
          </w:p>
        </w:tc>
        <w:tc>
          <w:tcPr>
            <w:tcW w:w="37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83,5</w:t>
            </w:r>
          </w:p>
        </w:tc>
      </w:tr>
      <w:tr w:rsidR="0005073B" w:rsidRPr="0005073B" w:rsidTr="0005073B">
        <w:trPr>
          <w:tblCellSpacing w:w="0" w:type="dxa"/>
        </w:trPr>
        <w:tc>
          <w:tcPr>
            <w:tcW w:w="808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Доля сельского хозяйства (в общей сумме фактических расходов), %:</w:t>
            </w:r>
          </w:p>
        </w:tc>
        <w:tc>
          <w:tcPr>
            <w:tcW w:w="43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40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37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r>
      <w:tr w:rsidR="0005073B" w:rsidRPr="0005073B" w:rsidTr="0005073B">
        <w:trPr>
          <w:tblCellSpacing w:w="0" w:type="dxa"/>
        </w:trPr>
        <w:tc>
          <w:tcPr>
            <w:tcW w:w="808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Консолидируемый бюджет</w:t>
            </w:r>
          </w:p>
        </w:tc>
        <w:tc>
          <w:tcPr>
            <w:tcW w:w="43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4,2</w:t>
            </w:r>
          </w:p>
        </w:tc>
        <w:tc>
          <w:tcPr>
            <w:tcW w:w="40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3,9</w:t>
            </w:r>
          </w:p>
        </w:tc>
        <w:tc>
          <w:tcPr>
            <w:tcW w:w="42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3,9</w:t>
            </w:r>
          </w:p>
        </w:tc>
        <w:tc>
          <w:tcPr>
            <w:tcW w:w="37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w:t>
            </w:r>
          </w:p>
        </w:tc>
      </w:tr>
      <w:tr w:rsidR="0005073B" w:rsidRPr="0005073B" w:rsidTr="0005073B">
        <w:trPr>
          <w:tblCellSpacing w:w="0" w:type="dxa"/>
        </w:trPr>
        <w:tc>
          <w:tcPr>
            <w:tcW w:w="808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Федеральный бюджет</w:t>
            </w:r>
          </w:p>
        </w:tc>
        <w:tc>
          <w:tcPr>
            <w:tcW w:w="43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2,2</w:t>
            </w:r>
          </w:p>
        </w:tc>
        <w:tc>
          <w:tcPr>
            <w:tcW w:w="40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2,4</w:t>
            </w:r>
          </w:p>
        </w:tc>
        <w:tc>
          <w:tcPr>
            <w:tcW w:w="42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w:t>
            </w:r>
          </w:p>
        </w:tc>
        <w:tc>
          <w:tcPr>
            <w:tcW w:w="37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1,1</w:t>
            </w:r>
          </w:p>
        </w:tc>
      </w:tr>
      <w:tr w:rsidR="0005073B" w:rsidRPr="0005073B" w:rsidTr="0005073B">
        <w:trPr>
          <w:tblCellSpacing w:w="0" w:type="dxa"/>
        </w:trPr>
        <w:tc>
          <w:tcPr>
            <w:tcW w:w="808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Бюджеты субъектов РФ</w:t>
            </w:r>
          </w:p>
        </w:tc>
        <w:tc>
          <w:tcPr>
            <w:tcW w:w="43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5,9</w:t>
            </w:r>
          </w:p>
        </w:tc>
        <w:tc>
          <w:tcPr>
            <w:tcW w:w="40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4,9</w:t>
            </w:r>
          </w:p>
        </w:tc>
        <w:tc>
          <w:tcPr>
            <w:tcW w:w="42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4,3</w:t>
            </w:r>
          </w:p>
        </w:tc>
        <w:tc>
          <w:tcPr>
            <w:tcW w:w="37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4,1</w:t>
            </w:r>
          </w:p>
        </w:tc>
      </w:tr>
      <w:tr w:rsidR="0005073B" w:rsidRPr="0005073B" w:rsidTr="0005073B">
        <w:trPr>
          <w:tblCellSpacing w:w="0" w:type="dxa"/>
        </w:trPr>
        <w:tc>
          <w:tcPr>
            <w:tcW w:w="808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Уровень исполнения федерального бюджета (отношение фактически использованных средств к запланированным), %</w:t>
            </w:r>
          </w:p>
        </w:tc>
        <w:tc>
          <w:tcPr>
            <w:tcW w:w="43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40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37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r>
      <w:tr w:rsidR="0005073B" w:rsidRPr="0005073B" w:rsidTr="0005073B">
        <w:trPr>
          <w:tblCellSpacing w:w="0" w:type="dxa"/>
        </w:trPr>
        <w:tc>
          <w:tcPr>
            <w:tcW w:w="808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Все отрасли экономики</w:t>
            </w:r>
          </w:p>
        </w:tc>
        <w:tc>
          <w:tcPr>
            <w:tcW w:w="43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96,8</w:t>
            </w:r>
          </w:p>
        </w:tc>
        <w:tc>
          <w:tcPr>
            <w:tcW w:w="40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81,5</w:t>
            </w:r>
          </w:p>
        </w:tc>
        <w:tc>
          <w:tcPr>
            <w:tcW w:w="420"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77,3</w:t>
            </w:r>
          </w:p>
        </w:tc>
        <w:tc>
          <w:tcPr>
            <w:tcW w:w="37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77,8</w:t>
            </w:r>
          </w:p>
        </w:tc>
      </w:tr>
      <w:tr w:rsidR="0005073B" w:rsidRPr="0005073B" w:rsidTr="0005073B">
        <w:trPr>
          <w:tblCellSpacing w:w="0" w:type="dxa"/>
        </w:trPr>
        <w:tc>
          <w:tcPr>
            <w:tcW w:w="808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Сельское хозяйство (включая рыболовство)</w:t>
            </w:r>
          </w:p>
        </w:tc>
        <w:tc>
          <w:tcPr>
            <w:tcW w:w="43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60,8</w:t>
            </w:r>
          </w:p>
        </w:tc>
        <w:tc>
          <w:tcPr>
            <w:tcW w:w="40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58,6</w:t>
            </w:r>
          </w:p>
        </w:tc>
        <w:tc>
          <w:tcPr>
            <w:tcW w:w="420"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75,4</w:t>
            </w:r>
          </w:p>
        </w:tc>
        <w:tc>
          <w:tcPr>
            <w:tcW w:w="37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27,5</w:t>
            </w:r>
          </w:p>
        </w:tc>
      </w:tr>
    </w:tbl>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Помимо трудностей экономического характера, сельскохозяйственные предприятия понесли существенные убытки: из-за засухи и других стихийных бедствий в 1998 и 1999 гг. в этих условиях возврат средств в федеральный бюджет в полном объеме маловероятен.</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Другая проблема - это инвестиционная политика в агропромышленном комплексе. Привлечение инвестиционных ресурсов в аграрное производство - важное условие его развития. Учитывая специфику сельского хозяйства - сезонность производства, низкий уровень доходности, природно-климатические факторы и т.д. - требуются прямое участие и поддержка государства для привлечения инвестиций в агропромышленный комплекс. Однако бюджет не решает указанной проблемы.</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Бюджетом на 2000 г. намечено выделение ассигнований на реализацию ряда заданий по утвержденным правительством РФ целевым федеральным программам, по которым государственным заказчиком выступают Минсельхозпрод России, </w:t>
      </w:r>
      <w:proofErr w:type="spellStart"/>
      <w:r w:rsidRPr="0005073B">
        <w:rPr>
          <w:rFonts w:ascii="Times New Roman" w:eastAsia="Times New Roman" w:hAnsi="Times New Roman" w:cs="Times New Roman"/>
          <w:sz w:val="24"/>
          <w:szCs w:val="24"/>
          <w:lang w:eastAsia="ru-RU"/>
        </w:rPr>
        <w:t>Госкомзем</w:t>
      </w:r>
      <w:proofErr w:type="spellEnd"/>
      <w:r w:rsidRPr="0005073B">
        <w:rPr>
          <w:rFonts w:ascii="Times New Roman" w:eastAsia="Times New Roman" w:hAnsi="Times New Roman" w:cs="Times New Roman"/>
          <w:sz w:val="24"/>
          <w:szCs w:val="24"/>
          <w:lang w:eastAsia="ru-RU"/>
        </w:rPr>
        <w:t xml:space="preserve"> России, Рослесхоз. Однако этих средств явно недостаточно. Закон "О федеральном бюджете на 2000 год" предусматривает крайне ограниченные объемы государственной поддержки агропромышленного производства, не обеспечивает в полной мере необходимые условия для выхода агропромышленного комплекса страны из кризиса и подъема сельскохозяйственного производства. Анализ ситуации, сложившийся в АПК страны и Республики Татарстан, показывает, что для обеспечения стабилизации агропромышленного производства в бюджет на 2000 г. необходимо заложить как минимум 12,1 млрд. бюджетных ассигнований.</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По разделу "Сельское хозяйство и рыболовство" необходимо было предусмотреть на пополнение лизингового фонда 6 млрд. </w:t>
      </w:r>
      <w:proofErr w:type="spellStart"/>
      <w:r w:rsidRPr="0005073B">
        <w:rPr>
          <w:rFonts w:ascii="Times New Roman" w:eastAsia="Times New Roman" w:hAnsi="Times New Roman" w:cs="Times New Roman"/>
          <w:sz w:val="24"/>
          <w:szCs w:val="24"/>
          <w:lang w:eastAsia="ru-RU"/>
        </w:rPr>
        <w:t>руб</w:t>
      </w:r>
      <w:proofErr w:type="spellEnd"/>
      <w:r w:rsidRPr="0005073B">
        <w:rPr>
          <w:rFonts w:ascii="Times New Roman" w:eastAsia="Times New Roman" w:hAnsi="Times New Roman" w:cs="Times New Roman"/>
          <w:sz w:val="24"/>
          <w:szCs w:val="24"/>
          <w:lang w:eastAsia="ru-RU"/>
        </w:rPr>
        <w:t xml:space="preserve">; федерального сезонного фонда запасных частей и других материально-технических ресурсов - 500 </w:t>
      </w:r>
      <w:proofErr w:type="spellStart"/>
      <w:r w:rsidRPr="0005073B">
        <w:rPr>
          <w:rFonts w:ascii="Times New Roman" w:eastAsia="Times New Roman" w:hAnsi="Times New Roman" w:cs="Times New Roman"/>
          <w:sz w:val="24"/>
          <w:szCs w:val="24"/>
          <w:lang w:eastAsia="ru-RU"/>
        </w:rPr>
        <w:t>млн.руб</w:t>
      </w:r>
      <w:proofErr w:type="spellEnd"/>
      <w:r w:rsidRPr="0005073B">
        <w:rPr>
          <w:rFonts w:ascii="Times New Roman" w:eastAsia="Times New Roman" w:hAnsi="Times New Roman" w:cs="Times New Roman"/>
          <w:sz w:val="24"/>
          <w:szCs w:val="24"/>
          <w:lang w:eastAsia="ru-RU"/>
        </w:rPr>
        <w:t>.; резерва ресурсов для преодоления последствий стихийных бедствий - 500 млн. руб. Источниками покрытия названных расходов на поддержку агропромышленного комплекса в 2000 г. могли бы стать:</w:t>
      </w:r>
    </w:p>
    <w:p w:rsidR="0005073B" w:rsidRPr="0005073B" w:rsidRDefault="0005073B" w:rsidP="0005073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часть таможенных платежей за перемещенные через границу сельскохозяйственную продукцию, продовольствие и сырье для перерабатывающей промышленности, а также минеральные удобрения, топливо и смазочные материалы; </w:t>
      </w:r>
    </w:p>
    <w:p w:rsidR="0005073B" w:rsidRPr="0005073B" w:rsidRDefault="0005073B" w:rsidP="0005073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налог на добавленную стоимость (1% от ставки НДС по стране не позволит направить на нужды АПК 2,6 млрд. руб.);</w:t>
      </w:r>
    </w:p>
    <w:p w:rsidR="0005073B" w:rsidRPr="0005073B" w:rsidRDefault="0005073B" w:rsidP="0005073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средства от реализации на аукционах объектов незавершенного строительства предприятий пищевой и перерабатывающей промышленности и сельского хозяйства; </w:t>
      </w:r>
    </w:p>
    <w:p w:rsidR="0005073B" w:rsidRPr="0005073B" w:rsidRDefault="0005073B" w:rsidP="0005073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дивиденды, получаемые Мингосимуществом России от находящихся в государственной собственности пакетов акций предприятий агропромышленного комплекса.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Учитывая тяжелое финансовое положение предприятий и организаций сельского хозяйства, желательно в будущем включить в бюджет разработку следующих вопросов:</w:t>
      </w:r>
    </w:p>
    <w:p w:rsidR="0005073B" w:rsidRPr="0005073B" w:rsidRDefault="0005073B" w:rsidP="0005073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о порядке выделения средств из федерального бюджета с учетом сезонности проведения сельскохозяйственных работ;</w:t>
      </w:r>
    </w:p>
    <w:p w:rsidR="0005073B" w:rsidRPr="0005073B" w:rsidRDefault="0005073B" w:rsidP="0005073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о списании задолженности сельскохозяйственных товаропроизводителей по выданным в 1992-1994 гг. </w:t>
      </w:r>
      <w:proofErr w:type="spellStart"/>
      <w:r w:rsidRPr="0005073B">
        <w:rPr>
          <w:rFonts w:ascii="Times New Roman" w:eastAsia="Times New Roman" w:hAnsi="Times New Roman" w:cs="Times New Roman"/>
          <w:sz w:val="24"/>
          <w:szCs w:val="24"/>
          <w:lang w:eastAsia="ru-RU"/>
        </w:rPr>
        <w:t>централизированным</w:t>
      </w:r>
      <w:proofErr w:type="spellEnd"/>
      <w:r w:rsidRPr="0005073B">
        <w:rPr>
          <w:rFonts w:ascii="Times New Roman" w:eastAsia="Times New Roman" w:hAnsi="Times New Roman" w:cs="Times New Roman"/>
          <w:sz w:val="24"/>
          <w:szCs w:val="24"/>
          <w:lang w:eastAsia="ru-RU"/>
        </w:rPr>
        <w:t xml:space="preserve"> кредитам, а также рассрочки (включая пени и штрафы) задолженности по платежам в бюджет и в государственные внебюджетные фонды с последующим отнесением их на внутренний государственный долг;</w:t>
      </w:r>
    </w:p>
    <w:p w:rsidR="0005073B" w:rsidRPr="0005073B" w:rsidRDefault="0005073B" w:rsidP="0005073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о </w:t>
      </w:r>
      <w:proofErr w:type="spellStart"/>
      <w:r w:rsidRPr="0005073B">
        <w:rPr>
          <w:rFonts w:ascii="Times New Roman" w:eastAsia="Times New Roman" w:hAnsi="Times New Roman" w:cs="Times New Roman"/>
          <w:sz w:val="24"/>
          <w:szCs w:val="24"/>
          <w:lang w:eastAsia="ru-RU"/>
        </w:rPr>
        <w:t>расструктуризации</w:t>
      </w:r>
      <w:proofErr w:type="spellEnd"/>
      <w:r w:rsidRPr="0005073B">
        <w:rPr>
          <w:rFonts w:ascii="Times New Roman" w:eastAsia="Times New Roman" w:hAnsi="Times New Roman" w:cs="Times New Roman"/>
          <w:sz w:val="24"/>
          <w:szCs w:val="24"/>
          <w:lang w:eastAsia="ru-RU"/>
        </w:rPr>
        <w:t xml:space="preserve"> дебиторской задолженности, ликвидируемой Федеральной продовольственной корпорацией; </w:t>
      </w:r>
    </w:p>
    <w:p w:rsidR="0005073B" w:rsidRPr="0005073B" w:rsidRDefault="0005073B" w:rsidP="0005073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 предоставлении на условиях возвратности и платности на срок не более 6 мес. бюджетных ссуд организациям агропромышленного комплекса, заключившим договор на поставку продовольственных товаров в рамках государственного оборонного заказа;</w:t>
      </w:r>
    </w:p>
    <w:p w:rsidR="0005073B" w:rsidRPr="0005073B" w:rsidRDefault="0005073B" w:rsidP="0005073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 распространении государственных гарантий на уплату процентов по инвестиционному проекту о привлечении под государственные гарантии кредитов Сберегательного банка РФ на закупку лизинговыми компаниями сельскохозяйственной техники и оборудования для организации агропромышленного комплекса;</w:t>
      </w:r>
    </w:p>
    <w:p w:rsidR="0005073B" w:rsidRPr="0005073B" w:rsidRDefault="0005073B" w:rsidP="0005073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 порядке привлечения кредитов Центрального банка России для финансирования сезонного недостатка оборотных средств сельскохозяйственных товаропроизводителей с процентной ставкой, соответствующей ставке, действующей для льготных кредитов, предоставляемых за счет средств специального фонда.</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Одним из направлений государственной поддержки аграрного комплекса является правильно выбранная налоговая политика по отношению к АПК. В аграрном секторе уже сформировалась налоговая система, куда входят налоги на прибыль, на землю, на добавленную стоимость, на имущество, подоходный налог, налог на охрану окружающей среды, акцизы, платежи в Дорожный фонд и многие другие налоги и платежи. Для предприятий АПК такое налогообложение непосильно. Основное бремя налогового пресса приходится на конечного потребителя, так как ставки налога на акцизы, добавленную стоимость и др. автоматически включаются в цены на товары и услуги. Пока в налоговой системе нет рычагов для проведения антимонопольной политики как в производственной сфере, так и в сфере </w:t>
      </w:r>
      <w:proofErr w:type="spellStart"/>
      <w:r w:rsidRPr="0005073B">
        <w:rPr>
          <w:rFonts w:ascii="Times New Roman" w:eastAsia="Times New Roman" w:hAnsi="Times New Roman" w:cs="Times New Roman"/>
          <w:sz w:val="24"/>
          <w:szCs w:val="24"/>
          <w:lang w:eastAsia="ru-RU"/>
        </w:rPr>
        <w:t>обращения.На</w:t>
      </w:r>
      <w:proofErr w:type="spellEnd"/>
      <w:r w:rsidRPr="0005073B">
        <w:rPr>
          <w:rFonts w:ascii="Times New Roman" w:eastAsia="Times New Roman" w:hAnsi="Times New Roman" w:cs="Times New Roman"/>
          <w:sz w:val="24"/>
          <w:szCs w:val="24"/>
          <w:lang w:eastAsia="ru-RU"/>
        </w:rPr>
        <w:t xml:space="preserve"> наш взгляд, налоговая политика в аграрном секторе может строиться на следующих принципах:</w:t>
      </w:r>
    </w:p>
    <w:p w:rsidR="0005073B" w:rsidRPr="0005073B" w:rsidRDefault="0005073B" w:rsidP="0005073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Налоги должны способствовать стабилизации экономики и ее структурной перестройке, росту эффективности производства, внедрению достижений научно-технического прогресса, повышению жизненного уровня населения, увеличению инвестиции в расширенное воспроизводство, созданию благоприятных условий труда и быта работников - ведущую роль следует отнести к косвенным и прямым налогам.</w:t>
      </w:r>
    </w:p>
    <w:p w:rsidR="0005073B" w:rsidRPr="0005073B" w:rsidRDefault="0005073B" w:rsidP="0005073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Промышленным предприятиям, производящим продукцию для АПК и увеличивающим физически объемы реализации готовой продукции, необходимо предоставить налоговые льготы. </w:t>
      </w:r>
    </w:p>
    <w:p w:rsidR="0005073B" w:rsidRPr="0005073B" w:rsidRDefault="0005073B" w:rsidP="0005073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Должны быть расширены налоговые льготы на инвестиции, направляемые на внедрение достижений научно-технического прогресса, - техническое перевооружение, реконструкцию, расширение, освоение производства и ввод новых мощностей.</w:t>
      </w:r>
    </w:p>
    <w:p w:rsidR="0005073B" w:rsidRPr="0005073B" w:rsidRDefault="0005073B" w:rsidP="0005073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lastRenderedPageBreak/>
        <w:t xml:space="preserve">Налогом следует облагать не валовую прибыль (полный доход), а лишь чистую, то есть с учетом предоставляемых предприятиям и организациям льгот по налогообложению. </w:t>
      </w:r>
    </w:p>
    <w:p w:rsidR="0005073B" w:rsidRPr="0005073B" w:rsidRDefault="0005073B" w:rsidP="0005073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Законы о налогах должны быть взаимоувязаны (особенно налоговые ставки) и не дублировать друг друга; </w:t>
      </w:r>
    </w:p>
    <w:p w:rsidR="0005073B" w:rsidRPr="0005073B" w:rsidRDefault="0005073B" w:rsidP="0005073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Необходимы единый подход к налогоплательщикам независимо от форм собственности и хозяйствования, одинаковые ставки для всех производственных субъектов. </w:t>
      </w:r>
    </w:p>
    <w:p w:rsidR="0005073B" w:rsidRPr="0005073B" w:rsidRDefault="0005073B" w:rsidP="0005073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Налоговая система должна предоставлять субъектам ряд льгот, однако целесообразно предусматривать более низкие налоговые ставки с небольшим числом исключений, а не высокие ставки со множеством исключений. </w:t>
      </w:r>
    </w:p>
    <w:p w:rsidR="0005073B" w:rsidRPr="0005073B" w:rsidRDefault="0005073B" w:rsidP="0005073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Необходимо определить четкие и устойчивые пропорции в распределении налоговых поступлений между центром, региональными и местными бюджетами. </w:t>
      </w:r>
    </w:p>
    <w:p w:rsidR="0005073B" w:rsidRPr="0005073B" w:rsidRDefault="0005073B" w:rsidP="0005073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Налоговые ставки и методика исчислений должны быть относительно стабильными в течении 3 - 5 лет, в то же время система налогообложения должна обладать гибкостью.</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Если существует объективная необходимость, предоставляются льготные условия для приоритетных производств, в товарах которых общество остро нуждается в данный момент. Оказание прямой финансовой поддержки сельскому хозяйству по сохранению, поддержанию, модернизации и обновлению производственного потенциала может осуществляться в разных формах:</w:t>
      </w:r>
    </w:p>
    <w:p w:rsidR="0005073B" w:rsidRPr="0005073B" w:rsidRDefault="0005073B" w:rsidP="0005073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реализация государственных программ, принятых ранее и не реализуемых в настоящее время;</w:t>
      </w:r>
    </w:p>
    <w:p w:rsidR="0005073B" w:rsidRPr="0005073B" w:rsidRDefault="0005073B" w:rsidP="0005073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льготные целевые кредиты по поддержанию потенциала крупного производства (животноводческие и другие комплексы, птицефабрики, семеноводческие и племенные хозяйства и т.д.), а также созданию новых эффективных мощностей, в том числе в крестьянских хозяйствах;</w:t>
      </w:r>
    </w:p>
    <w:p w:rsidR="0005073B" w:rsidRPr="0005073B" w:rsidRDefault="0005073B" w:rsidP="0005073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организация товарного кредита дефицитных оборотных средств под государственные гарантии и залог продукции как временная мера до нормализации рыночных и финансовых отношений;</w:t>
      </w:r>
    </w:p>
    <w:p w:rsidR="0005073B" w:rsidRPr="0005073B" w:rsidRDefault="0005073B" w:rsidP="0005073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осуществление целевого лизинга техники (тоже временный, но неизбежный на данном этапе метод поддержки товаропроизводителей);</w:t>
      </w:r>
    </w:p>
    <w:p w:rsidR="0005073B" w:rsidRPr="0005073B" w:rsidRDefault="0005073B" w:rsidP="0005073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сохранение дотаций на дефицитную продукцию животноводства с учетом зональных условий ее производства и специализации хозяйств; </w:t>
      </w:r>
    </w:p>
    <w:p w:rsidR="0005073B" w:rsidRPr="0005073B" w:rsidRDefault="0005073B" w:rsidP="0005073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оказание помощи в страховании урожая и имущества;</w:t>
      </w:r>
    </w:p>
    <w:p w:rsidR="0005073B" w:rsidRPr="0005073B" w:rsidRDefault="0005073B" w:rsidP="0005073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снижение налогов, особенно связанных с переработкой сельскохозяйственной продукции на сельских предприятиях; </w:t>
      </w:r>
    </w:p>
    <w:p w:rsidR="0005073B" w:rsidRPr="0005073B" w:rsidRDefault="0005073B" w:rsidP="0005073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оказание помощи в развитии инфраструктуры рынка, создании оптовых рынков, проведении аукционов; </w:t>
      </w:r>
    </w:p>
    <w:p w:rsidR="0005073B" w:rsidRPr="0005073B" w:rsidRDefault="0005073B" w:rsidP="0005073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развитие залоговых операций, в том числе на земельные участки, находящиеся в частной собственности; </w:t>
      </w:r>
    </w:p>
    <w:p w:rsidR="0005073B" w:rsidRPr="0005073B" w:rsidRDefault="0005073B" w:rsidP="0005073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повышение ввозных таможенных пошлин на продовольствие, готовое к потреблению; применение компенсационных и иных мер в отношении импорта продовольственных товаров, производство и экспорт которых субсидируется за рубежом;</w:t>
      </w:r>
    </w:p>
    <w:p w:rsidR="0005073B" w:rsidRPr="0005073B" w:rsidRDefault="0005073B" w:rsidP="0005073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xml:space="preserve">направление части средств от взимания таможенных платежей на оплату сельскохозяйственной продукции, сырья и продовольствия, импортируемых в </w:t>
      </w:r>
      <w:r w:rsidRPr="0005073B">
        <w:rPr>
          <w:rFonts w:ascii="Times New Roman" w:eastAsia="Times New Roman" w:hAnsi="Times New Roman" w:cs="Times New Roman"/>
          <w:sz w:val="24"/>
          <w:szCs w:val="24"/>
          <w:lang w:eastAsia="ru-RU"/>
        </w:rPr>
        <w:lastRenderedPageBreak/>
        <w:t>Россию, для реконструкции, переоснащения и государственной поддержки отечественных производств.</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Таким образом, государственная поддержка в условиях перехода к рыночным отношениям и многоукладности необходима. Так как важно сохранить производственный потенциал реально обобществленного крупного производства (бригад, ферм, цехов и т.д.), которое еще способно давать продукцию с минимальными в современных условиях издержками.</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 </w:t>
      </w:r>
    </w:p>
    <w:p w:rsidR="0005073B" w:rsidRPr="0005073B" w:rsidRDefault="0005073B" w:rsidP="000507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Доля сельского хозяйства в экономике народного хозяйства России,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20"/>
        <w:gridCol w:w="553"/>
        <w:gridCol w:w="540"/>
        <w:gridCol w:w="540"/>
        <w:gridCol w:w="553"/>
        <w:gridCol w:w="566"/>
        <w:gridCol w:w="767"/>
      </w:tblGrid>
      <w:tr w:rsidR="0005073B" w:rsidRPr="0005073B" w:rsidTr="0005073B">
        <w:trPr>
          <w:tblCellSpacing w:w="0" w:type="dxa"/>
        </w:trPr>
        <w:tc>
          <w:tcPr>
            <w:tcW w:w="643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1990</w:t>
            </w:r>
          </w:p>
        </w:tc>
        <w:tc>
          <w:tcPr>
            <w:tcW w:w="49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1995</w:t>
            </w:r>
          </w:p>
        </w:tc>
        <w:tc>
          <w:tcPr>
            <w:tcW w:w="51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1996</w:t>
            </w:r>
          </w:p>
        </w:tc>
        <w:tc>
          <w:tcPr>
            <w:tcW w:w="55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1997</w:t>
            </w:r>
          </w:p>
        </w:tc>
        <w:tc>
          <w:tcPr>
            <w:tcW w:w="570"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1998</w:t>
            </w:r>
          </w:p>
        </w:tc>
        <w:tc>
          <w:tcPr>
            <w:tcW w:w="645" w:type="dxa"/>
            <w:tcBorders>
              <w:top w:val="outset" w:sz="6" w:space="0" w:color="auto"/>
              <w:left w:val="outset" w:sz="6" w:space="0" w:color="auto"/>
              <w:bottom w:val="outset" w:sz="6" w:space="0" w:color="auto"/>
              <w:right w:val="outset" w:sz="6" w:space="0" w:color="auto"/>
            </w:tcBorders>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1999 оценка</w:t>
            </w:r>
          </w:p>
        </w:tc>
      </w:tr>
      <w:tr w:rsidR="0005073B" w:rsidRPr="0005073B" w:rsidTr="0005073B">
        <w:trPr>
          <w:tblCellSpacing w:w="0" w:type="dxa"/>
        </w:trPr>
        <w:tc>
          <w:tcPr>
            <w:tcW w:w="64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b/>
                <w:bCs/>
                <w:sz w:val="24"/>
                <w:szCs w:val="24"/>
                <w:lang w:eastAsia="ru-RU"/>
              </w:rPr>
              <w:t>Доля в:</w:t>
            </w:r>
            <w:r w:rsidRPr="0005073B">
              <w:rPr>
                <w:rFonts w:ascii="Times New Roman" w:eastAsia="Times New Roman" w:hAnsi="Times New Roman" w:cs="Times New Roman"/>
                <w:sz w:val="24"/>
                <w:szCs w:val="24"/>
                <w:lang w:eastAsia="ru-RU"/>
              </w:rPr>
              <w:t xml:space="preserve"> Валовом внутреннем продукте</w:t>
            </w:r>
          </w:p>
        </w:tc>
        <w:tc>
          <w:tcPr>
            <w:tcW w:w="55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16,4</w:t>
            </w:r>
          </w:p>
        </w:tc>
        <w:tc>
          <w:tcPr>
            <w:tcW w:w="49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7,9</w:t>
            </w:r>
          </w:p>
        </w:tc>
        <w:tc>
          <w:tcPr>
            <w:tcW w:w="51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7,5</w:t>
            </w:r>
          </w:p>
        </w:tc>
        <w:tc>
          <w:tcPr>
            <w:tcW w:w="55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7,3</w:t>
            </w:r>
          </w:p>
        </w:tc>
        <w:tc>
          <w:tcPr>
            <w:tcW w:w="57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5,3</w:t>
            </w:r>
          </w:p>
        </w:tc>
        <w:tc>
          <w:tcPr>
            <w:tcW w:w="64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6,7</w:t>
            </w:r>
          </w:p>
        </w:tc>
      </w:tr>
      <w:tr w:rsidR="0005073B" w:rsidRPr="0005073B" w:rsidTr="0005073B">
        <w:trPr>
          <w:tblCellSpacing w:w="0" w:type="dxa"/>
        </w:trPr>
        <w:tc>
          <w:tcPr>
            <w:tcW w:w="64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Численности занятого населения</w:t>
            </w:r>
          </w:p>
        </w:tc>
        <w:tc>
          <w:tcPr>
            <w:tcW w:w="55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12,9</w:t>
            </w:r>
          </w:p>
        </w:tc>
        <w:tc>
          <w:tcPr>
            <w:tcW w:w="49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14,7</w:t>
            </w:r>
          </w:p>
        </w:tc>
        <w:tc>
          <w:tcPr>
            <w:tcW w:w="51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14</w:t>
            </w:r>
          </w:p>
        </w:tc>
        <w:tc>
          <w:tcPr>
            <w:tcW w:w="55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13,3</w:t>
            </w:r>
          </w:p>
        </w:tc>
        <w:tc>
          <w:tcPr>
            <w:tcW w:w="57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12,7</w:t>
            </w:r>
          </w:p>
        </w:tc>
        <w:tc>
          <w:tcPr>
            <w:tcW w:w="64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11,8</w:t>
            </w:r>
          </w:p>
        </w:tc>
      </w:tr>
      <w:tr w:rsidR="0005073B" w:rsidRPr="0005073B" w:rsidTr="0005073B">
        <w:trPr>
          <w:tblCellSpacing w:w="0" w:type="dxa"/>
        </w:trPr>
        <w:tc>
          <w:tcPr>
            <w:tcW w:w="64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Инвестициях в основной капитал</w:t>
            </w:r>
          </w:p>
        </w:tc>
        <w:tc>
          <w:tcPr>
            <w:tcW w:w="55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15,9</w:t>
            </w:r>
          </w:p>
        </w:tc>
        <w:tc>
          <w:tcPr>
            <w:tcW w:w="49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3,5</w:t>
            </w:r>
          </w:p>
        </w:tc>
        <w:tc>
          <w:tcPr>
            <w:tcW w:w="51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2,9</w:t>
            </w:r>
          </w:p>
        </w:tc>
        <w:tc>
          <w:tcPr>
            <w:tcW w:w="55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2,5</w:t>
            </w:r>
          </w:p>
        </w:tc>
        <w:tc>
          <w:tcPr>
            <w:tcW w:w="57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2,4</w:t>
            </w:r>
          </w:p>
        </w:tc>
        <w:tc>
          <w:tcPr>
            <w:tcW w:w="64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2,4</w:t>
            </w:r>
          </w:p>
        </w:tc>
      </w:tr>
      <w:tr w:rsidR="0005073B" w:rsidRPr="0005073B" w:rsidTr="0005073B">
        <w:trPr>
          <w:tblCellSpacing w:w="0" w:type="dxa"/>
        </w:trPr>
        <w:tc>
          <w:tcPr>
            <w:tcW w:w="64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Основных фондах</w:t>
            </w:r>
          </w:p>
        </w:tc>
        <w:tc>
          <w:tcPr>
            <w:tcW w:w="55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11,4</w:t>
            </w:r>
          </w:p>
        </w:tc>
        <w:tc>
          <w:tcPr>
            <w:tcW w:w="49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11,6</w:t>
            </w:r>
          </w:p>
        </w:tc>
        <w:tc>
          <w:tcPr>
            <w:tcW w:w="51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13,3</w:t>
            </w:r>
          </w:p>
        </w:tc>
        <w:tc>
          <w:tcPr>
            <w:tcW w:w="55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13,4</w:t>
            </w:r>
          </w:p>
        </w:tc>
        <w:tc>
          <w:tcPr>
            <w:tcW w:w="57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13,2</w:t>
            </w:r>
          </w:p>
        </w:tc>
        <w:tc>
          <w:tcPr>
            <w:tcW w:w="64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13,2</w:t>
            </w:r>
          </w:p>
        </w:tc>
      </w:tr>
      <w:tr w:rsidR="0005073B" w:rsidRPr="0005073B" w:rsidTr="0005073B">
        <w:trPr>
          <w:tblCellSpacing w:w="0" w:type="dxa"/>
        </w:trPr>
        <w:tc>
          <w:tcPr>
            <w:tcW w:w="643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both"/>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Уровень оплаты труда работников сельского хозяйства по отношению к общероссийскому уровню</w:t>
            </w:r>
          </w:p>
        </w:tc>
        <w:tc>
          <w:tcPr>
            <w:tcW w:w="55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95</w:t>
            </w:r>
          </w:p>
        </w:tc>
        <w:tc>
          <w:tcPr>
            <w:tcW w:w="49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50</w:t>
            </w:r>
          </w:p>
        </w:tc>
        <w:tc>
          <w:tcPr>
            <w:tcW w:w="51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46</w:t>
            </w:r>
          </w:p>
        </w:tc>
        <w:tc>
          <w:tcPr>
            <w:tcW w:w="55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42</w:t>
            </w:r>
          </w:p>
        </w:tc>
        <w:tc>
          <w:tcPr>
            <w:tcW w:w="57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41</w:t>
            </w:r>
          </w:p>
        </w:tc>
        <w:tc>
          <w:tcPr>
            <w:tcW w:w="64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05073B" w:rsidRPr="0005073B" w:rsidRDefault="0005073B" w:rsidP="0005073B">
            <w:pPr>
              <w:spacing w:after="0" w:line="240" w:lineRule="auto"/>
              <w:jc w:val="center"/>
              <w:rPr>
                <w:rFonts w:ascii="Times New Roman" w:eastAsia="Times New Roman" w:hAnsi="Times New Roman" w:cs="Times New Roman"/>
                <w:sz w:val="24"/>
                <w:szCs w:val="24"/>
                <w:lang w:eastAsia="ru-RU"/>
              </w:rPr>
            </w:pPr>
            <w:r w:rsidRPr="0005073B">
              <w:rPr>
                <w:rFonts w:ascii="Times New Roman" w:eastAsia="Times New Roman" w:hAnsi="Times New Roman" w:cs="Times New Roman"/>
                <w:sz w:val="24"/>
                <w:szCs w:val="24"/>
                <w:lang w:eastAsia="ru-RU"/>
              </w:rPr>
              <w:t>39</w:t>
            </w:r>
          </w:p>
        </w:tc>
      </w:tr>
    </w:tbl>
    <w:p w:rsidR="00351E64" w:rsidRDefault="00351E64">
      <w:pPr>
        <w:rPr>
          <w:rFonts w:ascii="Times New Roman" w:hAnsi="Times New Roman" w:cs="Times New Roman"/>
          <w:sz w:val="28"/>
          <w:szCs w:val="28"/>
        </w:rPr>
      </w:pPr>
    </w:p>
    <w:p w:rsidR="00351E64" w:rsidRPr="00351E64" w:rsidRDefault="00351E64" w:rsidP="00351E64">
      <w:pPr>
        <w:rPr>
          <w:rFonts w:ascii="Times New Roman" w:hAnsi="Times New Roman" w:cs="Times New Roman"/>
          <w:sz w:val="28"/>
          <w:szCs w:val="28"/>
        </w:rPr>
      </w:pPr>
    </w:p>
    <w:p w:rsidR="00351E64" w:rsidRPr="00351E64" w:rsidRDefault="00351E64" w:rsidP="00351E64">
      <w:pPr>
        <w:rPr>
          <w:rFonts w:ascii="Times New Roman" w:hAnsi="Times New Roman" w:cs="Times New Roman"/>
          <w:sz w:val="28"/>
          <w:szCs w:val="28"/>
        </w:rPr>
      </w:pPr>
    </w:p>
    <w:p w:rsidR="00351E64" w:rsidRPr="00351E64" w:rsidRDefault="00351E64" w:rsidP="00351E64">
      <w:pPr>
        <w:rPr>
          <w:rFonts w:ascii="Times New Roman" w:hAnsi="Times New Roman" w:cs="Times New Roman"/>
          <w:sz w:val="28"/>
          <w:szCs w:val="28"/>
        </w:rPr>
      </w:pPr>
    </w:p>
    <w:p w:rsidR="00351E64" w:rsidRPr="00351E64" w:rsidRDefault="00351E64" w:rsidP="00351E64">
      <w:pPr>
        <w:rPr>
          <w:rFonts w:ascii="Times New Roman" w:hAnsi="Times New Roman" w:cs="Times New Roman"/>
          <w:sz w:val="28"/>
          <w:szCs w:val="28"/>
        </w:rPr>
      </w:pPr>
    </w:p>
    <w:p w:rsidR="00351E64" w:rsidRPr="00351E64" w:rsidRDefault="00351E64" w:rsidP="00351E64">
      <w:pPr>
        <w:rPr>
          <w:rFonts w:ascii="Times New Roman" w:hAnsi="Times New Roman" w:cs="Times New Roman"/>
          <w:sz w:val="28"/>
          <w:szCs w:val="28"/>
        </w:rPr>
      </w:pPr>
    </w:p>
    <w:p w:rsidR="00351E64" w:rsidRPr="00351E64" w:rsidRDefault="00351E64" w:rsidP="00351E64">
      <w:pPr>
        <w:rPr>
          <w:rFonts w:ascii="Times New Roman" w:hAnsi="Times New Roman" w:cs="Times New Roman"/>
          <w:sz w:val="28"/>
          <w:szCs w:val="28"/>
        </w:rPr>
      </w:pPr>
    </w:p>
    <w:p w:rsidR="00351E64" w:rsidRPr="00351E64" w:rsidRDefault="00351E64" w:rsidP="00351E64">
      <w:pPr>
        <w:rPr>
          <w:rFonts w:ascii="Times New Roman" w:hAnsi="Times New Roman" w:cs="Times New Roman"/>
          <w:sz w:val="28"/>
          <w:szCs w:val="28"/>
        </w:rPr>
      </w:pPr>
    </w:p>
    <w:p w:rsidR="00351E64" w:rsidRPr="00351E64" w:rsidRDefault="00351E64" w:rsidP="00351E64">
      <w:pPr>
        <w:rPr>
          <w:rFonts w:ascii="Times New Roman" w:hAnsi="Times New Roman" w:cs="Times New Roman"/>
          <w:sz w:val="28"/>
          <w:szCs w:val="28"/>
        </w:rPr>
      </w:pPr>
    </w:p>
    <w:p w:rsidR="00351E64" w:rsidRPr="00351E64" w:rsidRDefault="00351E64" w:rsidP="00351E64">
      <w:pPr>
        <w:rPr>
          <w:rFonts w:ascii="Times New Roman" w:hAnsi="Times New Roman" w:cs="Times New Roman"/>
          <w:sz w:val="28"/>
          <w:szCs w:val="28"/>
        </w:rPr>
      </w:pPr>
    </w:p>
    <w:p w:rsidR="00351E64" w:rsidRPr="00351E64" w:rsidRDefault="00351E64" w:rsidP="00351E64">
      <w:pPr>
        <w:rPr>
          <w:rFonts w:ascii="Times New Roman" w:hAnsi="Times New Roman" w:cs="Times New Roman"/>
          <w:sz w:val="28"/>
          <w:szCs w:val="28"/>
        </w:rPr>
      </w:pPr>
    </w:p>
    <w:p w:rsidR="00351E64" w:rsidRPr="00351E64" w:rsidRDefault="00351E64" w:rsidP="00351E64">
      <w:pPr>
        <w:rPr>
          <w:rFonts w:ascii="Times New Roman" w:hAnsi="Times New Roman" w:cs="Times New Roman"/>
          <w:sz w:val="28"/>
          <w:szCs w:val="28"/>
        </w:rPr>
      </w:pPr>
    </w:p>
    <w:p w:rsidR="00351E64" w:rsidRPr="00351E64" w:rsidRDefault="00351E64" w:rsidP="00351E64">
      <w:pPr>
        <w:rPr>
          <w:rFonts w:ascii="Times New Roman" w:hAnsi="Times New Roman" w:cs="Times New Roman"/>
          <w:sz w:val="28"/>
          <w:szCs w:val="28"/>
        </w:rPr>
      </w:pPr>
    </w:p>
    <w:p w:rsidR="00351E64" w:rsidRDefault="00351E64" w:rsidP="00351E64">
      <w:pPr>
        <w:rPr>
          <w:rFonts w:ascii="Times New Roman" w:hAnsi="Times New Roman" w:cs="Times New Roman"/>
          <w:sz w:val="28"/>
          <w:szCs w:val="28"/>
        </w:rPr>
      </w:pPr>
    </w:p>
    <w:p w:rsidR="0005073B" w:rsidRDefault="0005073B"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pStyle w:val="a3"/>
        <w:jc w:val="center"/>
      </w:pPr>
      <w:r>
        <w:rPr>
          <w:rStyle w:val="a4"/>
        </w:rPr>
        <w:lastRenderedPageBreak/>
        <w:t xml:space="preserve">РЕСТРУКТУРИЗАЦИЯ ЗАНЯТОСТИ В РОССИИ </w:t>
      </w:r>
    </w:p>
    <w:p w:rsidR="00351E64" w:rsidRDefault="00351E64" w:rsidP="00351E64">
      <w:pPr>
        <w:pStyle w:val="a3"/>
        <w:jc w:val="center"/>
      </w:pPr>
    </w:p>
    <w:p w:rsidR="00351E64" w:rsidRDefault="00351E64" w:rsidP="00351E64">
      <w:pPr>
        <w:pStyle w:val="a3"/>
        <w:jc w:val="center"/>
      </w:pPr>
      <w:r>
        <w:rPr>
          <w:rStyle w:val="a4"/>
        </w:rPr>
        <w:t xml:space="preserve">А.Е. Лапин, к.э.н., доцент, </w:t>
      </w:r>
      <w:proofErr w:type="spellStart"/>
      <w:r>
        <w:rPr>
          <w:rStyle w:val="a4"/>
        </w:rPr>
        <w:t>УлГПУ</w:t>
      </w:r>
      <w:proofErr w:type="spellEnd"/>
      <w:r>
        <w:rPr>
          <w:rStyle w:val="a4"/>
        </w:rPr>
        <w:t xml:space="preserve"> им. И.Н. Ульянова Ю.С. Алексеев, к.э.н., доцент, </w:t>
      </w:r>
      <w:proofErr w:type="spellStart"/>
      <w:r>
        <w:rPr>
          <w:rStyle w:val="a4"/>
        </w:rPr>
        <w:t>ИЭиБ</w:t>
      </w:r>
      <w:proofErr w:type="spellEnd"/>
      <w:r>
        <w:rPr>
          <w:rStyle w:val="a4"/>
        </w:rPr>
        <w:t xml:space="preserve"> </w:t>
      </w:r>
      <w:proofErr w:type="spellStart"/>
      <w:r>
        <w:rPr>
          <w:rStyle w:val="a4"/>
        </w:rPr>
        <w:t>УлГУ</w:t>
      </w:r>
      <w:proofErr w:type="spellEnd"/>
      <w:r>
        <w:rPr>
          <w:rStyle w:val="a4"/>
        </w:rPr>
        <w:t xml:space="preserve"> Н.И. Ильина, к.э.н., ТИСБИ </w:t>
      </w:r>
    </w:p>
    <w:p w:rsidR="00351E64" w:rsidRDefault="00351E64" w:rsidP="00351E64">
      <w:pPr>
        <w:pStyle w:val="a3"/>
        <w:jc w:val="center"/>
      </w:pPr>
    </w:p>
    <w:p w:rsidR="00351E64" w:rsidRDefault="00351E64" w:rsidP="00351E64">
      <w:pPr>
        <w:pStyle w:val="a3"/>
        <w:jc w:val="both"/>
      </w:pPr>
      <w:r>
        <w:t xml:space="preserve">Необходимость качественных изменений в профессионально-квалификационной структуре рабочей силы осознается в настоящее время на всех уровнях управления экономикой. Причинами ухудшения структуры, состава и качества человеческого фактора, сказавшимися на результатах хозяйственной деятельности макроэкономики, отрасли, региональной экономики, отдельного предприятия, являются падение реальной заработной платы и рост удельного веса теневых источников денежных доходов, снижение трудовой мотивации и неудачные попытки "привить" идеи </w:t>
      </w:r>
      <w:proofErr w:type="spellStart"/>
      <w:r>
        <w:t>трипартизма</w:t>
      </w:r>
      <w:proofErr w:type="spellEnd"/>
      <w:r>
        <w:t xml:space="preserve"> и социального партнерства в России как основу регулирования социально-трудовых отношений в обществе, "крен" экономики в сторону добывающей промышленности, а также отраслей, связанных с первичной переработкой природных ресурсов: нефти, газа, алюминия, и как следствие, возрастание востребованности в низкоквалифицированном персонале, занятом на физически и морально устаревшем оборудовании. К приведенным выше причинам можно также отнести отсутствие на федеральном и региональном уровнях промышленной, инвестиционной и структурной государственной политики, сильную сегментацию отдельных субъектов РФ по уровню социально-экономического развития с нарастанием тенденции к дальнейшей дифференциации. Отмеченные явления - типичные признаки кризисного состояния системы рабочих мест и занятости в России, что требует принятия незамедлительных мер со стороны государства, направленных на рост производительности труда за счет интенсивных факторов: новых информационных технологий, отраслевой реструктуризации рабочих мест с позиций экономической эффективности, образования, профессионализма, заинтересованности в трудовой карьере и доходах, связанных с оплатой труда, диверсификацией знаний, навыков и умений.</w:t>
      </w:r>
    </w:p>
    <w:p w:rsidR="00351E64" w:rsidRDefault="00351E64" w:rsidP="00351E64">
      <w:pPr>
        <w:pStyle w:val="a3"/>
        <w:jc w:val="both"/>
      </w:pPr>
      <w:r>
        <w:t> </w:t>
      </w:r>
    </w:p>
    <w:p w:rsidR="00351E64" w:rsidRDefault="00351E64" w:rsidP="00351E64">
      <w:pPr>
        <w:pStyle w:val="a3"/>
        <w:jc w:val="both"/>
      </w:pPr>
      <w:r>
        <w:t xml:space="preserve">Прогнозируя дальнейшее развитие рынка труда и его структуры, можно с достаточным основанием утверждать, что при сохранении отмеченных тенденций к 2010-2015 гг. использование персонала в качестве основного фактора устойчивого экономического роста потеряет свою актуальность. Ситуация сильно осложняется демографическим спадом (если в 1992 г. в возрасте до 20 лет регистрировалось 3,6% постоянного населения, то в 1998 г. - 1,4%), </w:t>
      </w:r>
      <w:proofErr w:type="gramStart"/>
      <w:r>
        <w:t>а следовательно</w:t>
      </w:r>
      <w:proofErr w:type="gramEnd"/>
      <w:r>
        <w:t>, и резким (более 50%) сокращением образовательной системы в перспективе на ближайшие 10 лет. Анализ структурных сдвигов распределения вакансий на рынке труда позволяет сделать вывод о приоритете физического труда и связанных с ним рабочих специальностей над умственном трудом, ориентированных на информационное обеспечение рынка товаров, услуг и обеспечение функционирования субъектов экономических отношений. Таким образом, наблюдаемое несоответствие рынка труда и образовательных услуг вызывает дополнительное давление на профессионально-квалификационную структуру занятости, когда происходит полная или частичная переподготовка сотрудника в соответствии с фактическим характером выполняемой работы, вне зависимости от предыдущего образования и квалификации.</w:t>
      </w:r>
    </w:p>
    <w:p w:rsidR="00351E64" w:rsidRDefault="00351E64" w:rsidP="00351E64">
      <w:pPr>
        <w:pStyle w:val="a3"/>
        <w:jc w:val="both"/>
      </w:pPr>
      <w:r>
        <w:t> </w:t>
      </w:r>
    </w:p>
    <w:p w:rsidR="00351E64" w:rsidRDefault="00351E64" w:rsidP="00351E64">
      <w:pPr>
        <w:pStyle w:val="a3"/>
        <w:jc w:val="both"/>
      </w:pPr>
      <w:r>
        <w:lastRenderedPageBreak/>
        <w:t xml:space="preserve">Предполагается, что в связи с устоявшимися технологиями и низкими темпами их замены или модернизации, нехваткой средств на техническое перевооружение предприятий и инвестиций для выполнения должностных обязанностей вполне достаточно образования, полученного в средней школе и дополненного специальными знаниями на рабочем месте. </w:t>
      </w:r>
      <w:proofErr w:type="spellStart"/>
      <w:r>
        <w:t>Невостребованность</w:t>
      </w:r>
      <w:proofErr w:type="spellEnd"/>
      <w:r>
        <w:t xml:space="preserve"> высококвалифицированных специалистов на открытом рынке труда вызывает их отток в теневой сектор экономики, что отражается в резком сокращении занятости в официальном секторе экономики. Так, в целом по России, количество занятых в регистрируемой экономике за шесть лет (с 1992 по 1998 гг.) сократилось на 11,7%, при этом диапазон региональных различий выходит на нижнюю границу 30% и более. Максимальное сокращение занятости происходило в этот период в науке и научном обслуживании (-43,6%), которое вылилось в два явления: "утечка мозгов за рубеж" и "внутренняя утечка" (межотраслевое и межсекторное перераспределение занятых). Объяснением таких высоких темпов сокращения численности может служить как высокая профессиональная мобильность научных работников, так и "их выдавливание" в более доходные отрасли (финансовое кредитование, государственное управление, малый бизнес и др.), расширение возможностей трудоустройства в странах с развитой рыночной экономикой по своей основной специальности. К отраслям, в которых сокращение занятости нарастает, относятся: строительство (-35,9%), промышленность (-33,7%), транспорт и связь (-14,4%), сельское и лесное хозяйство (-13,3%), образование, культура и искусство (-6,5%). Данная динамика полностью отражает изменение структуры ВВП в России, когда доля услуг возросла с 32,6% в 1990 г. до 52,7% в 1998 г., а товаров упала с 60,5% до 39,3%. Вместе с тем рост деловой активности в ряде отраслей, отвечающий трансформационным изменениям макроэкономического порядка, вызвал достаточно сильное увеличение занятости в: розничной и оптовой торговле, общественном питании, МТС, сбыте и заготовках - на 63%; кредитовании, финансах и страховании - на 48,6%; ЖКХ, непроизводственных видах бытового обслуживания - на 14%.</w:t>
      </w:r>
    </w:p>
    <w:p w:rsidR="00351E64" w:rsidRDefault="00351E64" w:rsidP="00351E64">
      <w:pPr>
        <w:pStyle w:val="a3"/>
        <w:jc w:val="both"/>
      </w:pPr>
      <w:r>
        <w:t> </w:t>
      </w:r>
    </w:p>
    <w:p w:rsidR="00351E64" w:rsidRDefault="00351E64" w:rsidP="00351E64">
      <w:pPr>
        <w:pStyle w:val="a3"/>
        <w:jc w:val="both"/>
      </w:pPr>
      <w:r>
        <w:t xml:space="preserve">Существуют и другие отрасли, также характеризующиеся ростом занятости, однако происходящие изменения в них объясняются специфическими российскими особенностями, определяемыми стагнационным состоянием всего общества в целом. Так, </w:t>
      </w:r>
      <w:proofErr w:type="spellStart"/>
      <w:r>
        <w:t>беспрецендентным</w:t>
      </w:r>
      <w:proofErr w:type="spellEnd"/>
      <w:r>
        <w:t xml:space="preserve"> выглядит рост занятости в аппарате органов управления - на 103,9% (без аппарата общественных организаций), менее заметно увеличение количества работающих в здравоохранении, физической культуре и социальном обеспечении - на 5,3%. Несмотря на высокую нагрузку разнообразных чиновников на отрасли, являющиеся "стратегическими центрами роста прибыли", эффективность государственного регулирования экономики и рынка труда остается крайне низкой, что, естественно, вызывает дальнейшее стремление к усилению административного воздействия, выражающееся ростом занятости в отмеченной отрасли.</w:t>
      </w:r>
    </w:p>
    <w:p w:rsidR="00351E64" w:rsidRDefault="00351E64" w:rsidP="00351E64">
      <w:pPr>
        <w:pStyle w:val="a3"/>
        <w:jc w:val="both"/>
      </w:pPr>
      <w:r>
        <w:t> </w:t>
      </w:r>
    </w:p>
    <w:p w:rsidR="00351E64" w:rsidRDefault="00351E64" w:rsidP="00351E64">
      <w:pPr>
        <w:pStyle w:val="a3"/>
        <w:jc w:val="both"/>
      </w:pPr>
      <w:r>
        <w:t xml:space="preserve">Другим фактором, стимулирующим этот процесс, является близость к распределению бюджетных финансовых потоков, что проявляется в первоочередном росте заработной платы в органах управления при ухудшении экономической конъюнктуры, лоббировании узковедомственных и групповых интересов, расширенных возможностях сращивания с организованной преступностью и теневым капиталом. Ухудшение здоровья населения, обвальное снижение рождаемости и стремительное старение общества, рост инвалидности, бедности объективно приводят к необходимости увеличения количества и объемов финансирования социальных программ, </w:t>
      </w:r>
      <w:proofErr w:type="spellStart"/>
      <w:r>
        <w:t>дотационности</w:t>
      </w:r>
      <w:proofErr w:type="spellEnd"/>
      <w:r>
        <w:t xml:space="preserve"> содержания социальной сферы, расширению штатов медицинского персонала и органов социальной защиты. Мизерность </w:t>
      </w:r>
      <w:r>
        <w:lastRenderedPageBreak/>
        <w:t xml:space="preserve">заработной платы, ее длительные задержки и неспособность выступать в качестве "финансовой опоры" бюджетов домохозяйств в сельскохозяйственных регионах России вызывают увеличение доли трансфертов в денежных доходах населения до 50% и выше, фактически сводя роль территориальных государственных органов управления только к функциям распределения и перераспределения бюджетных дотаций с точки зрения социальной справедливости. Ситуацию осложняет </w:t>
      </w:r>
      <w:proofErr w:type="spellStart"/>
      <w:r>
        <w:t>моноструктура</w:t>
      </w:r>
      <w:proofErr w:type="spellEnd"/>
      <w:r>
        <w:t xml:space="preserve"> отдельных территорий, когда работодателем является единственное предприятие, от финансовой устойчивости которого зависит как состояние рынка труда, так и доходная часть всей социальной сферы. Возникновение кризисных ситуаций здесь приводит к углублению и массовому распространению застойной безработицы, потере квалификации, трудовому абсентеизму, резкому обострению социальной напряженности, требующей разработки и реализации специальных </w:t>
      </w:r>
      <w:proofErr w:type="spellStart"/>
      <w:r>
        <w:t>структурноориентированных</w:t>
      </w:r>
      <w:proofErr w:type="spellEnd"/>
      <w:r>
        <w:t xml:space="preserve"> программ, охватывающих всю территорию и являющихся в условиях дефицитности региональных бюджетов фактически неосуществимыми.</w:t>
      </w:r>
    </w:p>
    <w:p w:rsidR="00351E64" w:rsidRDefault="00351E64" w:rsidP="00351E64">
      <w:pPr>
        <w:pStyle w:val="a3"/>
        <w:jc w:val="both"/>
      </w:pPr>
      <w:r>
        <w:t> </w:t>
      </w:r>
    </w:p>
    <w:p w:rsidR="00351E64" w:rsidRDefault="00351E64" w:rsidP="00351E64">
      <w:pPr>
        <w:pStyle w:val="a3"/>
        <w:jc w:val="both"/>
      </w:pPr>
      <w:r>
        <w:t xml:space="preserve">Отток наиболее квалифицированной части рабочей силы из отраслей сферы материального производства наряду с возрастанием степени износа активной части основных фондов (машин, оборудования, транспортных механизмов) создает угрозу длительности процесса выхода на новый уровень макроэкономического равновесия, отвечающего требованиям обеспечения устойчивого характера экономического роста на основе наукоемких технологий и достижений НТП. Следует учесть, что потенциал сокращения занятости еще далеко не исчерпан, об этом свидетельствует его несоответствие размерам и темпам снижения ВВП, физических объемов производства товаров, работ, услуг (ФОП), что вызывает дальнейшее уменьшение численности занятых, несмотря на рост соответствующего индекса (реального ВВП, индекса ФОП). Многие крупные </w:t>
      </w:r>
      <w:proofErr w:type="spellStart"/>
      <w:r>
        <w:t>отраслеобразующие</w:t>
      </w:r>
      <w:proofErr w:type="spellEnd"/>
      <w:r>
        <w:t xml:space="preserve"> предприятия в настоящее время сталкиваются с ситуацией, когда в связи с длительными перерывами в фактическом трудовом стаже (например, находясь в длительном административном отпуске) работник теряет свою квалификацию практически полностью и неспособен к выполнению своих должностных обязанностей. Отсутствие внутрифирменной системы подготовки, повышения квалификации и переподготовки персонала вместе с практически полностью разрушенной аналогичной системой отраслевого уровня приводит к дефициту высококвалифицированной рабочей силы (например, рабочих 4-6 разрядов), несмотря на высокий уровень безработицы, что в условиях роста портфеля заказов и эффекта </w:t>
      </w:r>
      <w:proofErr w:type="spellStart"/>
      <w:r>
        <w:t>импортозамещения</w:t>
      </w:r>
      <w:proofErr w:type="spellEnd"/>
      <w:r>
        <w:t xml:space="preserve"> находит выражение в снижении качества производимой продукции и обратном "откате" на импортные комплектующие и сырье.</w:t>
      </w:r>
    </w:p>
    <w:p w:rsidR="00351E64" w:rsidRDefault="00351E64" w:rsidP="00351E64">
      <w:pPr>
        <w:pStyle w:val="a3"/>
        <w:jc w:val="both"/>
      </w:pPr>
      <w:r>
        <w:t> </w:t>
      </w:r>
    </w:p>
    <w:p w:rsidR="00351E64" w:rsidRDefault="00351E64" w:rsidP="00351E64">
      <w:pPr>
        <w:pStyle w:val="a3"/>
        <w:jc w:val="both"/>
      </w:pPr>
      <w:r>
        <w:t xml:space="preserve">В целом квалификационная структура занятости в экономике остается неудовлетворительной: в 1999 г. немногим более 20% персонала статистика относила к рабочей силе с высоким уровнем квалификации и около 40% - с низким уровнем. Особенно поражает доля неквалифицированного персонала - 15,1% в 1997 г. и 15,2% в 1998 г., сравнимая с долей работников средней и высшей квалификации. Таким образом, техническая отсталость системы рабочих мест в России трансформируется в неквалифицированную занятость, характеризующуюся высоким уровнем текучести (не менее 25% среднесписочного состава), экономической неэффективностью затрат работодателя на профессиональное обучение работников и устойчивостью своего воспроизводства. Частично сдерживающим фактором продолжает оставаться повышение образовательного уровня рабочей силы: доля лиц с высшим и средним профессиональным </w:t>
      </w:r>
      <w:r>
        <w:lastRenderedPageBreak/>
        <w:t xml:space="preserve">образованием растет среди занятых и безработных. Так, если в 1990 г. только 17,8% занятых имели полное и незаконченное высшее профессиональное образование, то в 1998 г. - 22,6%. "Частичность" этого фактора объясняется снижением качества образовательного процесса, что выражается в ухудшении качества рабочей силы, впервые выходящей на рынок труда, длительности адаптации к трудовым функциям, высоком уровне текучести, низкой </w:t>
      </w:r>
      <w:proofErr w:type="spellStart"/>
      <w:r>
        <w:t>отвественности</w:t>
      </w:r>
      <w:proofErr w:type="spellEnd"/>
      <w:r>
        <w:t xml:space="preserve"> и производительности труда. Быстрые изменения в законодательных условиях хозяйственной деятельности, развитии технологий, инновационном характере мировой экономики, ее глобализации в течение 3 лет (в ряде отраслей, например, в информационных системах и телекоммуникациях, этот срок сокращается до нескольких месяцев) после получения образования фактически делают несоответствующими условиям конкуренции полученные знания и навыки и требуют их постоянного обновления.</w:t>
      </w:r>
    </w:p>
    <w:p w:rsidR="00351E64" w:rsidRDefault="00351E64" w:rsidP="00351E64">
      <w:pPr>
        <w:pStyle w:val="a3"/>
        <w:jc w:val="both"/>
      </w:pPr>
      <w:r>
        <w:t> </w:t>
      </w:r>
    </w:p>
    <w:p w:rsidR="00351E64" w:rsidRDefault="00351E64" w:rsidP="00351E64">
      <w:pPr>
        <w:pStyle w:val="a3"/>
        <w:jc w:val="both"/>
      </w:pPr>
      <w:r>
        <w:t xml:space="preserve">Неконтролируемая "утечка" трудовых ресурсов из официальной экономики в условиях увеличения давления на рынок труда формирует своеобразные "приемники" рабочей силы, основным из которых является теневой сектор, с масштабами от 40 до 60% ВВП. В первом приближении этот сектор представляется состоящим из трех сегментов: криминального (деятельность запрещена государством законодательно для любого субъекта рыночных отношений), нерегистрируемой деятельности (законодательно разрешена, но у субъекта отсутствует лицензия или другой документ, подтверждающий легитимность осуществляемых товарно-денежных отношений), сокрытия истинных финансовых результатов (лицензия имеется, однако сознательно укрывается часть доходов от налогообложения). Привлекательность неформальной занятости объясняется не только более высокими доходами, зависящими от личной предпринимательской инициативы и возможностью уклонения от уплаты налогов, но и выбором занятости в гибком режиме рабочего времени, отсутствием формальной регламентации трудовых отношений, самостоятельностью в принятии управленческих решений. Уровень вовлеченности занятого населения в теневой сектор оценивается выше 50%, при этом широкое распространение получает многоступенчатая занятость - вторичная, третичная и т.д. Низкая степень загрузки имеющихся производственных мощностей (в пределах 45-50% в целом по промышленности в 1998 г.) компенсируется индуцированной занятостью, связанной с неформальными трудовыми отношениями, выполнением сторонних нерегистрируемых работ и </w:t>
      </w:r>
      <w:proofErr w:type="spellStart"/>
      <w:r>
        <w:t>самозанятостью</w:t>
      </w:r>
      <w:proofErr w:type="spellEnd"/>
      <w:r>
        <w:t xml:space="preserve"> на рабочем месте. Отчасти подтверждением этому являются непропорциональное снижение энергопотребления промышленностью всего в пределах 10% вместо равномерного, соответствующего 50% снижению индекса ФОП; рост числа торговых предприятий при балансовой убыточности и заработной плате в этой отрасли ниже среднеотраслевой; 40% сокращение численности занятых в малом бизнесе и переход на устные договорные отношения.</w:t>
      </w:r>
    </w:p>
    <w:p w:rsidR="00351E64" w:rsidRDefault="00351E64" w:rsidP="00351E64">
      <w:pPr>
        <w:pStyle w:val="a3"/>
        <w:jc w:val="both"/>
      </w:pPr>
      <w:r>
        <w:t> </w:t>
      </w:r>
    </w:p>
    <w:p w:rsidR="00351E64" w:rsidRDefault="00351E64" w:rsidP="00351E64">
      <w:pPr>
        <w:pStyle w:val="a3"/>
        <w:jc w:val="both"/>
      </w:pPr>
      <w:r>
        <w:t xml:space="preserve">Попытки со стороны государства предотвратить возникшее интенсивное перераспределение рабочей силы в настоящее время не дают ощутимого эффекта; принимаемые государственные программы содействия занятости ориентированы на заработки ниже прожиточного минимума и в лучшем случае играют роль социальной защиты малообеспеченных и маргинальных слоев населения, носят </w:t>
      </w:r>
      <w:proofErr w:type="spellStart"/>
      <w:r>
        <w:t>трудозатратный</w:t>
      </w:r>
      <w:proofErr w:type="spellEnd"/>
      <w:r>
        <w:t xml:space="preserve"> характер и не способствуют экономически эффективной оптимизации структуры системы рабочих мест. Финансовая база государственных программ формируется в основном за счет средств Фонда занятости населения, которая в связи с опережающим ростом потребительских цен над номинальной заработной платой, сокращением количества занятых и задолженности по уплате отчислений сжимается в реальном исчислении, о чем </w:t>
      </w:r>
      <w:r>
        <w:lastRenderedPageBreak/>
        <w:t>говорит прекращение финансирования программ создания и сохранения рабочих мест с 1996 г. по линии ФСЗ.</w:t>
      </w:r>
    </w:p>
    <w:p w:rsidR="00351E64" w:rsidRDefault="00351E64" w:rsidP="00351E64">
      <w:pPr>
        <w:pStyle w:val="a3"/>
        <w:jc w:val="both"/>
      </w:pPr>
      <w:r>
        <w:t> </w:t>
      </w:r>
    </w:p>
    <w:p w:rsidR="00351E64" w:rsidRDefault="00351E64" w:rsidP="00351E64">
      <w:pPr>
        <w:pStyle w:val="a3"/>
        <w:jc w:val="both"/>
      </w:pPr>
      <w:r>
        <w:t xml:space="preserve">Возрастающая отраслевая дифференциация реальной заработной платы - сокращение в сельском и лесном хозяйстве, рост в управлении, финансах, кредитовании и страховании - подтверждает гипотезу </w:t>
      </w:r>
      <w:proofErr w:type="spellStart"/>
      <w:r>
        <w:t>Филлипса</w:t>
      </w:r>
      <w:proofErr w:type="spellEnd"/>
      <w:r>
        <w:t xml:space="preserve"> о существовании альтернативной взаимосвязи только либо в депрессивных, либо в процветающих высокорентабельных отраслях. В других отраслях статистически значимая связь между инфляцией и занятостью не подтверждается</w:t>
      </w:r>
      <w:hyperlink r:id="rId7" w:anchor="3" w:history="1">
        <w:proofErr w:type="gramStart"/>
        <w:r>
          <w:rPr>
            <w:rStyle w:val="a5"/>
            <w:vertAlign w:val="superscript"/>
          </w:rPr>
          <w:t>3</w:t>
        </w:r>
      </w:hyperlink>
      <w:r>
        <w:t xml:space="preserve"> .</w:t>
      </w:r>
      <w:proofErr w:type="gramEnd"/>
      <w:r>
        <w:t xml:space="preserve"> В дальнейшем роль заработной платы как фактора отраслевой миграции рабочей силы и структурных изменений скорее всего будет снижаться, поскольку кумулятивный (накопленный) рост ИПЦ опережает рост номинальной заработной платы (к январю 2000 г. по сравнению с январем 1992 г. в 3,5 - 4 раза), а соотношение средней начисленной заработной платы с учетом выплат социального характера с прожиточным минимумом трудоспособного населения сократилось с 2,81 в 1992 г. до 1,89 в 1998 г. Кроме того, доля оплаты труда в структуре денежных доходов сократилась с 69,9% в 1992 г. до 38,7% в 1998 г., а доходов от собственности, предпринимательской деятельности выросла с 15,8% до 47,2%, при этом проблему создает не сам факт роста последней группы доходов, а относительный спад оплаты труда. Заметное расслоение занятых на группы по получаемым денежным доходам консервирует сложившуюся структуру "</w:t>
      </w:r>
      <w:proofErr w:type="spellStart"/>
      <w:r>
        <w:t>оплачиваемости</w:t>
      </w:r>
      <w:proofErr w:type="spellEnd"/>
      <w:r>
        <w:t>" персонала с перекосом в сторону малооплачиваемых групп работников (вторичный внутрифирменный рынок труда) и принудительный характер перераспределения доходов, прибыли и дивидендов в пользу высшего руководства предприятий ("директорского корпуса") вне зависимости от организационно-правовой формы и собственности. Это приводит к занижению оплаты высококвалифицированного труда специалистов, что находит свое выражение либо в потере квалификации, либо в частых сменах места работы.</w:t>
      </w:r>
    </w:p>
    <w:p w:rsidR="00351E64" w:rsidRDefault="00351E64" w:rsidP="00351E64">
      <w:pPr>
        <w:pStyle w:val="a3"/>
        <w:jc w:val="both"/>
      </w:pPr>
      <w:r>
        <w:t> </w:t>
      </w:r>
    </w:p>
    <w:p w:rsidR="00351E64" w:rsidRDefault="00351E64" w:rsidP="00351E64">
      <w:pPr>
        <w:pStyle w:val="a3"/>
        <w:jc w:val="both"/>
      </w:pPr>
      <w:r>
        <w:t xml:space="preserve">Другим следствием проводимой политики является возникновение на этой почве </w:t>
      </w:r>
      <w:proofErr w:type="spellStart"/>
      <w:r>
        <w:t>многочисленых</w:t>
      </w:r>
      <w:proofErr w:type="spellEnd"/>
      <w:r>
        <w:t xml:space="preserve"> конфликтов: от </w:t>
      </w:r>
      <w:proofErr w:type="spellStart"/>
      <w:r>
        <w:t>внутриличностных</w:t>
      </w:r>
      <w:proofErr w:type="spellEnd"/>
      <w:r>
        <w:t xml:space="preserve"> до </w:t>
      </w:r>
      <w:proofErr w:type="spellStart"/>
      <w:r>
        <w:t>межорганизационных</w:t>
      </w:r>
      <w:proofErr w:type="spellEnd"/>
      <w:r>
        <w:t>, когда человек, принимая решение о выборе места работы и рода деятельности, должен учитывать "расклад" противоборствующих сил в регионе и оценивать период времени, в течение которого заработная плата будет превышать ее социально приемлемый уровень.</w:t>
      </w:r>
    </w:p>
    <w:p w:rsidR="00351E64" w:rsidRDefault="00351E64" w:rsidP="00351E64">
      <w:pPr>
        <w:pStyle w:val="a3"/>
        <w:jc w:val="both"/>
      </w:pPr>
      <w:r>
        <w:t> </w:t>
      </w:r>
    </w:p>
    <w:p w:rsidR="00351E64" w:rsidRDefault="00351E64" w:rsidP="00351E64">
      <w:pPr>
        <w:pStyle w:val="a3"/>
        <w:jc w:val="both"/>
      </w:pPr>
      <w:r>
        <w:t xml:space="preserve">Создание ФСЗ как центрального института, осуществляющего государственную политику на рынке труда, характеризовалось наибольшей эффективностью в 1996 г., когда службой занятости регистрировалось 41,3% от общей численности безработных (по </w:t>
      </w:r>
      <w:proofErr w:type="spellStart"/>
      <w:r>
        <w:t>методологиии</w:t>
      </w:r>
      <w:proofErr w:type="spellEnd"/>
      <w:r>
        <w:t xml:space="preserve"> МОТ), в дальнейшем практика показала, что степень ее влияния на структурообразующие процессы рынка труда, отраслевого перераспределения занятости, результаты активной политики имеют отчетливую тенденцию к затуханию. Так, в 1997 г. доля официально зарегистрированных безработных в их общем числе сократилась до 25,0%, в 1998 г. - 22,4%, в 1999 г. - 17,3% (в целом уже длительное время изменения в уровнях безработицы по методологии МОТ и официальным данным ФСЗ колеблются в "противофазе"); аналогичная тенденция видна и из распределения численности безработных по способам поиска работы, когда доля обратившихся в ФСЗ (а значит, и с некоторой поправкой эффективность работы органов ФСЗ по трудоустройству) падает с 1996 г.: 1996 г. - 43,9%; 1997 г. - 42,3%; 1998 г. - 39,6%. Косвенным свидетельством является медленный рост среднего возраста безработных - с 33,2 года в 1995 г. до 34,3 года в 1998 г., что можно интерпретировать как </w:t>
      </w:r>
      <w:r>
        <w:lastRenderedPageBreak/>
        <w:t>изначальный отказ молодежи обращаться в органы ФСЗ в поисках работы, предпочитая непосредственное обращение к работодателю и личные связи. Таким образом, деятельность ФСЗ концентрируется на более узких социально-демографических группах старших возрастов. Эта же тенденция характеризует и занятых: средний возраст последних в 1995 г. составил 38,2 года, а в 1998 г. - 38,7, несмотря на возрастающее давление на рынок труда в связи с увеличением количества выпускников школ, средних и высших профессиональных учебных заведений. С учетом практически полного отсутствия негосударственных агентств в регионах по содействию в поиске подходящего вида деятельности (за исключением крупных городов) формирование пропорций рынка труда складывается в значительной степени стихийно, без учета стратегических интересов России, исходя, в основном, из направлений наиболее доходного вложения спекулятивного капитала.</w:t>
      </w:r>
    </w:p>
    <w:p w:rsidR="00351E64" w:rsidRDefault="00351E64" w:rsidP="00351E64">
      <w:pPr>
        <w:pStyle w:val="a3"/>
        <w:jc w:val="both"/>
      </w:pPr>
      <w:r>
        <w:t> </w:t>
      </w:r>
    </w:p>
    <w:p w:rsidR="00351E64" w:rsidRDefault="00351E64" w:rsidP="00351E64">
      <w:pPr>
        <w:pStyle w:val="a3"/>
        <w:jc w:val="both"/>
      </w:pPr>
      <w:r>
        <w:t>Региональные изменения в отраслевой структуре занятости отличаются следующими особенностями. Во-первых, спад занятости в строительстве, сельском и лесном хозяйстве, транспорте и связи, науке и научном обслуживании, образовании, культуре и искусстве, как правило, глубже, чем в среднем по России. Такое положение связано с резким сокращением возможностей региональных бюджетов поддерживать за счет собственных средств отрасли, объем работ и заказов в которых в значительной степени определялся ранее именно региональной производственной и отраслевой структурой, межрегиональными взаимосвязями, госзаказом, что в условиях кризиса в большей мере отражается на состоянии именно социальной сферы. Во-вторых, спад занятости в промышленности во многих регионах меньше, чем по России, так как промышленность рассматривается в настоящее время большинством руководителей регионов в качестве экономического "стержня" решения проблем межбюджетных отношений, налоговой недоимки, финансирования социальных программ, стратегической основы дальнейшего развития.</w:t>
      </w:r>
    </w:p>
    <w:p w:rsidR="00351E64" w:rsidRDefault="00351E64" w:rsidP="00351E64">
      <w:pPr>
        <w:pStyle w:val="a3"/>
        <w:jc w:val="both"/>
      </w:pPr>
      <w:r>
        <w:t> </w:t>
      </w:r>
    </w:p>
    <w:p w:rsidR="00351E64" w:rsidRDefault="00351E64" w:rsidP="00351E64">
      <w:pPr>
        <w:pStyle w:val="a3"/>
        <w:jc w:val="both"/>
      </w:pPr>
      <w:r>
        <w:t xml:space="preserve">В этой связи принимаются административные меры по поддержке региональной промышленности путем </w:t>
      </w:r>
      <w:proofErr w:type="spellStart"/>
      <w:r>
        <w:t>внутрирегионального</w:t>
      </w:r>
      <w:proofErr w:type="spellEnd"/>
      <w:r>
        <w:t xml:space="preserve"> перевода заказов, лоббирования интересов </w:t>
      </w:r>
      <w:proofErr w:type="spellStart"/>
      <w:r>
        <w:t>бюджетообразующих</w:t>
      </w:r>
      <w:proofErr w:type="spellEnd"/>
      <w:r>
        <w:t xml:space="preserve"> предприятий в федеральном центре, организации территориальных тендеров на поставку ГСМ, других социально и экономически значимых товаров, работ и услуг. В-третьих, меньше рост занятости в следующих отраслях: торговле, общественном питании, МТС, сбыте и заготовках, ЖКХ и непроизводственных видах бытового обслуживания, кредитовании, финансах и страховании, аппарате органов управления, что объясняется региональными особенностями выбранной модели перехода к рыночной экономике, стилем руководства со стороны исполнительной власти, меньшими возможностями международного сотрудничества, узостью </w:t>
      </w:r>
      <w:proofErr w:type="spellStart"/>
      <w:r>
        <w:t>внутрирегионального</w:t>
      </w:r>
      <w:proofErr w:type="spellEnd"/>
      <w:r>
        <w:t xml:space="preserve"> потребительского рынка и низкой покупательной способностью населения, лоббированием территориальных интересов в федеральном центре. В-четвертых, заметно отличается увеличение занятости в здравоохранении и социальном обеспечении в региональном разрезе, которое может достигать темпов прироста в 20% и более (1998 г. по сравнению с 1992 г.), что связано с серьезными региональными различиями в заболеваемости населения, уровнем загрязнения окружающей среды, старением населения (нагрузка гражданских пенсионеров на работающее население </w:t>
      </w:r>
      <w:proofErr w:type="spellStart"/>
      <w:r>
        <w:t>составяет</w:t>
      </w:r>
      <w:proofErr w:type="spellEnd"/>
      <w:r>
        <w:t xml:space="preserve"> не менее 50 на 100 человек и растет), работой занятого населения во вредных условиях (каждый 5-й в промышленности в 1998 г.). В целом по сравнению со среднероссийским уровнем темпы сокращения занятости в регионах выше и превышают 20%. Сильное развитие получает межрегиональный обмен рабочей силой (нередко в одностороннем порядке) по "вахтовому" принципу. </w:t>
      </w:r>
      <w:proofErr w:type="spellStart"/>
      <w:r>
        <w:t>Пополение</w:t>
      </w:r>
      <w:proofErr w:type="spellEnd"/>
      <w:r>
        <w:t xml:space="preserve"> персонала за счет </w:t>
      </w:r>
      <w:proofErr w:type="spellStart"/>
      <w:r>
        <w:t>межстрановой</w:t>
      </w:r>
      <w:proofErr w:type="spellEnd"/>
      <w:r>
        <w:t xml:space="preserve"> миграции (из стран СНГ) не имеет принципиального </w:t>
      </w:r>
      <w:r>
        <w:lastRenderedPageBreak/>
        <w:t>значения. Другим фактором, также оказывающим существенное влияние на отраслевую структуру занятости, является наличие предприятий нефтегазоперерабатывающего комплекса, сверхдоходы которого частично перераспределяются в виде региональных надбавок к заработной плате в бюджетных отраслях: образовании, культуре и искусстве, здравоохранении, ЖКХ, частично науке и научном обслуживании. Большую проблему представляет переход на новые принципы подбора персонала, когда основное внимание уделяется не личной лояльности претендента на рабочее место к руководителю, личным связям, "корпоративности" с предыдущей должностью и характером выполняемой работы, а уровню квалификации, фундаментальности полученного образования, качеству и результативности в достижении поставленных целей, подтвержденных на этапе предварительной стажировки и исключающих насыщение организации сотрудниками, которые не могут выполнять возложенных на них функций и одновременно не могут быть уволены по несоответствии занимаемой должности (по субъективным причинам).</w:t>
      </w:r>
    </w:p>
    <w:p w:rsidR="00351E64" w:rsidRDefault="00351E64" w:rsidP="00351E64">
      <w:pPr>
        <w:pStyle w:val="a3"/>
        <w:jc w:val="both"/>
      </w:pPr>
      <w:r>
        <w:t> </w:t>
      </w:r>
    </w:p>
    <w:p w:rsidR="00351E64" w:rsidRDefault="00351E64" w:rsidP="00351E64">
      <w:pPr>
        <w:pStyle w:val="a3"/>
        <w:jc w:val="both"/>
      </w:pPr>
      <w:r>
        <w:t xml:space="preserve">Переходный характер формирования нового типа макроэкономического равновесия в России определяет и новую структуру занятости, отраслевую концентрацию рабочей силы, особенности социально-трудовых отношений. Увеличение количества работающих в отраслях сферы услуг следует с определенным временным лагом за реструктуризацией ВВП. Отмеченная тенденция будет проявляться в течение ближайшего десятилетия, однако структура распределения занятых по отраслям в настоящее время </w:t>
      </w:r>
      <w:proofErr w:type="spellStart"/>
      <w:r>
        <w:t>труднопрогнозируема</w:t>
      </w:r>
      <w:proofErr w:type="spellEnd"/>
      <w:r>
        <w:t>, так как нестационарный переходный процесс еще не завершился и происходят заметные изменения в макроэкономической и социальной политике государства. Прогноз общего сокращения занятости за пределы базы на основе одно-, двухфакторных регрессионных зависимостей, различных эконометрических моделей говорит о фактическом исчерпании ресурсов дальнейшего спада, когда ситуация могла иметь обратимый характер; продолжение отмеченных выше тенденций в течение 10-15 лет приведет к ускорению сокращения общего количества занятых до 20-30% от уровня 1990 г.</w:t>
      </w:r>
    </w:p>
    <w:p w:rsidR="00351E64" w:rsidRDefault="00351E64" w:rsidP="00351E64">
      <w:pPr>
        <w:pStyle w:val="a3"/>
        <w:jc w:val="both"/>
      </w:pPr>
      <w:r>
        <w:t> </w:t>
      </w:r>
    </w:p>
    <w:p w:rsidR="00351E64" w:rsidRDefault="00351E64" w:rsidP="00351E64">
      <w:pPr>
        <w:pStyle w:val="a3"/>
        <w:jc w:val="both"/>
      </w:pPr>
      <w:r>
        <w:t xml:space="preserve">Трансформационные кризисы переходного периода российской экономики к рынку указывают на некоторые аналогии с моделями ядерной физики, когда атомное ядро характеризуется различными уровнями возбуждения, переход между которыми сопровождается испусканием кванта энергии. Нечто похожее происходит и с российской экономикой, которая периодически сталкивается с различными проявлениями общесистемного структурного кризиса, выражающегося в кризисе денежно-кредитной и валютной системы, затем в течение 3-6 лет функционирует в квазиравновесном состоянии. К сожалению, в результате таких "национальных особенностей" переходной экономики наиболее сильные изменения коснулись реальных денежных доходов и заработной платы, которые с 1991 г. к 2000 г. сократились более чем на 50%, усиления социальной стратификации общества, а также в целом уровня жизни населения России (с 1992 г. за чертой бедности проживало не менее 20% населения, а в отдельные года и периоды - не менее 35%). Возникают предпосылки дальнейшего продолжения описанного сценария развития, которые базируются на опережающем росте ИПЦ по сравнению с заработной платой, формировании сырьевой ориентации экспорта и колебаний конъюнктуры мирового рынка энергоносителей, масштабах и условиях обслуживания внешнего долга, осложнений внешнеполитических отношений с промышленно развитыми странами, необходимости расширенных прямых инвестиций в основные фонды экономики и резком росте затрат на социальные программы (например, бюджет Пенсионного фонда в 1998 г. превышал 50% </w:t>
      </w:r>
      <w:r>
        <w:lastRenderedPageBreak/>
        <w:t>федерального бюджета, т.е. 10 млрд. долл.), с которыми существующая налоговая система с ее 70% собираемостью налогов уже не справляется.</w:t>
      </w:r>
    </w:p>
    <w:p w:rsidR="00351E64" w:rsidRDefault="00351E64" w:rsidP="00351E64">
      <w:pPr>
        <w:pStyle w:val="a3"/>
        <w:jc w:val="both"/>
      </w:pPr>
      <w:r>
        <w:t> </w:t>
      </w:r>
    </w:p>
    <w:p w:rsidR="00351E64" w:rsidRDefault="00351E64" w:rsidP="00351E64">
      <w:pPr>
        <w:pStyle w:val="a3"/>
        <w:jc w:val="both"/>
      </w:pPr>
      <w:r>
        <w:t>Другим вероятным проявлением кризиса как инструмента быстрого реагирования на становление затухающего стабилизационного макроэкономического равновесия является четко выраженный двухуровневый характер структурных изменений, когда в пропорциях статистически регистрируемой экономики существенных изменений не происходит, однако они затрагивают теневую часть рынка товаров, работ, услуг и занятости; фактически реструктуризация происходит, но в "невидимой части спектра". Об этом свидетельствует снижение экономической активности населения с 70,3% в 1992 г. до 61,0% в 1998 г., хотя, как указывалось выше, уровень реальных денежных доходов сократился за отмеченный период более чем на 50%, и продолжает падать далее. "Подводная часть айсберга" теневой занятости продолжает нарастать, этому способствует ряд мероприятий государственной политики на отдельных рынках товаров и услуг, первоначально имеющих целью сокращение объемов нерегистрируемого оборота продукции и выручки от ее реализации. Так, например, почти двукратное повышение отпускных цен на спирт в январе 2000 года привело к резкому смещению структуры продаж алкогольной продукции в сторону неформального обращения в пропорции 60:40 (вместо 50:50 в 1999 г.), поскольку отсутствие налогообложения и ряда других издержек производства и реализации в теневом секторе делает рентабельным организацию подобного товарооборота при ценах в 2,5-3 раза меньших текущих (на официальном рынке).</w:t>
      </w:r>
    </w:p>
    <w:p w:rsidR="00351E64" w:rsidRDefault="00351E64" w:rsidP="00351E64">
      <w:pPr>
        <w:pStyle w:val="a3"/>
        <w:jc w:val="both"/>
      </w:pPr>
      <w:r>
        <w:t> </w:t>
      </w:r>
    </w:p>
    <w:p w:rsidR="00351E64" w:rsidRDefault="00351E64" w:rsidP="00351E64">
      <w:pPr>
        <w:pStyle w:val="a3"/>
        <w:jc w:val="both"/>
      </w:pPr>
      <w:r>
        <w:t>Становление активной позиции государства на рынке труда и его определяющая роль в формировании трудовых доходов населения (прямые и косвенные способы воздействия) остается в настоящее время под вопросом в связи с необходимостью изыскания значительных объемов финансовых ресурсов по проведению структурной перестройки экономики, привлечение которых неизбежно затронет социальные программы. Возможности активизации "административного" ресурса практически исчерпаны, что ограничивает применение прямых мер государственного регулирования даже на этапе внесения законодательных инициатив, не говоря уже о запуске механизмов реализации. Типичным примером может служить ситуация с квотированием рабочих мест для слабозащищенных категорий граждан, когда отсутствие денежных компенсаций работодателю со стороны бюджета, а также трудности в создании внебюджетных источников не позволяют органам исполнительной власти реально изменить ситуацию на этом сегменте рынка труда. При этом ежегодно нагрузка специализированных рабочих мест (например, для инвалидов) по отношению к стандартным возрастает и требует скорейшего решения.</w:t>
      </w:r>
    </w:p>
    <w:p w:rsidR="00351E64" w:rsidRDefault="00351E64" w:rsidP="00351E64">
      <w:pPr>
        <w:pStyle w:val="a3"/>
        <w:jc w:val="both"/>
      </w:pPr>
      <w:r>
        <w:t> </w:t>
      </w:r>
    </w:p>
    <w:p w:rsidR="00351E64" w:rsidRDefault="00351E64" w:rsidP="00351E64">
      <w:pPr>
        <w:pStyle w:val="a3"/>
        <w:jc w:val="both"/>
      </w:pPr>
      <w:r>
        <w:t xml:space="preserve">Выход из сложившегося положения на принципах неоклассического Ренессанса означает дальнейшее углубление структурных противоречий. Авторы считают в настоящей ситуации целесообразным: одновременное воздействие государства на всех участников товарно-денежных отношений, реализацию политики снижения "высоты" барьеров вступления в отрасли и, возможно, принудительное устранение государством преград на пути непосредственного взаимодействия агентов спроса и предложения; организацию "обратного" перераспределения теневого капитала в реальный сектор экономики путем установления дополнительных преимуществ легальной деятельности; оздоровление </w:t>
      </w:r>
      <w:r>
        <w:lastRenderedPageBreak/>
        <w:t>института арбитражных управляющих и всей процедуры банкротства; обеспечение быстрой ротации государственных служащих в аппарате управления, главных менеджеров на предприятиях; реализацию государственной политики в сфере амортизационных отчислений и обновления основных фондов; привлечение внутренних инвестиций, вариативный налоговый протекционизм для отечественного товаропроизводителя; конкурсный характер размещения государственных заказов и осуществление кооперации, ответственности за результаты конкурентной борьбы на рынке рабочей силы, товаров, работ и услуг.</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pStyle w:val="a3"/>
        <w:jc w:val="center"/>
      </w:pPr>
      <w:r>
        <w:rPr>
          <w:rStyle w:val="a4"/>
        </w:rPr>
        <w:lastRenderedPageBreak/>
        <w:t xml:space="preserve">РЕСТРУКТУРИЗАЦИЯ ЗАНЯТОСТИ В РОССИИ </w:t>
      </w:r>
    </w:p>
    <w:p w:rsidR="00351E64" w:rsidRDefault="00351E64" w:rsidP="00351E64">
      <w:pPr>
        <w:pStyle w:val="a3"/>
        <w:jc w:val="center"/>
      </w:pPr>
    </w:p>
    <w:p w:rsidR="00351E64" w:rsidRDefault="00351E64" w:rsidP="00351E64">
      <w:pPr>
        <w:pStyle w:val="a3"/>
        <w:jc w:val="center"/>
      </w:pPr>
      <w:r>
        <w:rPr>
          <w:rStyle w:val="a4"/>
        </w:rPr>
        <w:t xml:space="preserve">А.Е. Лапин, к.э.н., доцент, </w:t>
      </w:r>
      <w:proofErr w:type="spellStart"/>
      <w:r>
        <w:rPr>
          <w:rStyle w:val="a4"/>
        </w:rPr>
        <w:t>УлГПУ</w:t>
      </w:r>
      <w:proofErr w:type="spellEnd"/>
      <w:r>
        <w:rPr>
          <w:rStyle w:val="a4"/>
        </w:rPr>
        <w:t xml:space="preserve"> им. И.Н. Ульянова Ю.С. Алексеев, к.э.н., доцент, </w:t>
      </w:r>
      <w:proofErr w:type="spellStart"/>
      <w:r>
        <w:rPr>
          <w:rStyle w:val="a4"/>
        </w:rPr>
        <w:t>ИЭиБ</w:t>
      </w:r>
      <w:proofErr w:type="spellEnd"/>
      <w:r>
        <w:rPr>
          <w:rStyle w:val="a4"/>
        </w:rPr>
        <w:t xml:space="preserve"> </w:t>
      </w:r>
      <w:proofErr w:type="spellStart"/>
      <w:r>
        <w:rPr>
          <w:rStyle w:val="a4"/>
        </w:rPr>
        <w:t>УлГУ</w:t>
      </w:r>
      <w:proofErr w:type="spellEnd"/>
      <w:r>
        <w:rPr>
          <w:rStyle w:val="a4"/>
        </w:rPr>
        <w:t xml:space="preserve"> Н.И. Ильина, к.э.н., ТИСБИ </w:t>
      </w:r>
    </w:p>
    <w:p w:rsidR="00351E64" w:rsidRDefault="00351E64" w:rsidP="00351E64">
      <w:pPr>
        <w:pStyle w:val="a3"/>
        <w:jc w:val="center"/>
      </w:pPr>
    </w:p>
    <w:p w:rsidR="00351E64" w:rsidRDefault="00351E64" w:rsidP="00351E64">
      <w:pPr>
        <w:pStyle w:val="a3"/>
        <w:jc w:val="both"/>
      </w:pPr>
      <w:r>
        <w:t xml:space="preserve">Необходимость качественных изменений в профессионально-квалификационной структуре рабочей силы осознается в настоящее время на всех уровнях управления экономикой. Причинами ухудшения структуры, состава и качества человеческого фактора, сказавшимися на результатах хозяйственной деятельности макроэкономики, отрасли, региональной экономики, отдельного предприятия, являются падение реальной заработной платы и рост удельного веса теневых источников денежных доходов, снижение трудовой мотивации и неудачные попытки "привить" идеи </w:t>
      </w:r>
      <w:proofErr w:type="spellStart"/>
      <w:r>
        <w:t>трипартизма</w:t>
      </w:r>
      <w:proofErr w:type="spellEnd"/>
      <w:r>
        <w:t xml:space="preserve"> и социального партнерства в России как основу регулирования социально-трудовых отношений в обществе, "крен" экономики в сторону добывающей промышленности, а также отраслей, связанных с первичной переработкой природных ресурсов: нефти, газа, алюминия, и как следствие, возрастание востребованности в низкоквалифицированном персонале, занятом на физически и морально устаревшем оборудовании. К приведенным выше причинам можно также отнести отсутствие на федеральном и региональном уровнях промышленной, инвестиционной и структурной государственной политики, сильную сегментацию отдельных субъектов РФ по уровню социально-экономического развития с нарастанием тенденции к дальнейшей дифференциации. Отмеченные явления - типичные признаки кризисного состояния системы рабочих мест и занятости в России, что требует принятия незамедлительных мер со стороны государства, направленных на рост производительности труда за счет интенсивных факторов: новых информационных технологий, отраслевой реструктуризации рабочих мест с позиций экономической эффективности, образования, профессионализма, заинтересованности в трудовой карьере и доходах, связанных с оплатой труда, диверсификацией знаний, навыков и умений.</w:t>
      </w:r>
    </w:p>
    <w:p w:rsidR="00351E64" w:rsidRDefault="00351E64" w:rsidP="00351E64">
      <w:pPr>
        <w:pStyle w:val="a3"/>
        <w:jc w:val="both"/>
      </w:pPr>
      <w:r>
        <w:t> </w:t>
      </w:r>
    </w:p>
    <w:p w:rsidR="00351E64" w:rsidRDefault="00351E64" w:rsidP="00351E64">
      <w:pPr>
        <w:pStyle w:val="a3"/>
        <w:jc w:val="both"/>
      </w:pPr>
      <w:r>
        <w:t xml:space="preserve">Прогнозируя дальнейшее развитие рынка труда и его структуры, можно с достаточным основанием утверждать, что при сохранении отмеченных тенденций к 2010-2015 гг. использование персонала в качестве основного фактора устойчивого экономического роста потеряет свою актуальность. Ситуация сильно осложняется демографическим спадом (если в 1992 г. в возрасте до 20 лет регистрировалось 3,6% постоянного населения, то в 1998 г. - 1,4%), </w:t>
      </w:r>
      <w:proofErr w:type="gramStart"/>
      <w:r>
        <w:t>а следовательно</w:t>
      </w:r>
      <w:proofErr w:type="gramEnd"/>
      <w:r>
        <w:t>, и резким (более 50%) сокращением образовательной системы в перспективе на ближайшие 10 лет. Анализ структурных сдвигов распределения вакансий на рынке труда позволяет сделать вывод о приоритете физического труда и связанных с ним рабочих специальностей над умственном трудом, ориентированных на информационное обеспечение рынка товаров, услуг и обеспечение функционирования субъектов экономических отношений. Таким образом, наблюдаемое несоответствие рынка труда и образовательных услуг вызывает дополнительное давление на профессионально-квалификационную структуру занятости, когда происходит полная или частичная переподготовка сотрудника в соответствии с фактическим характером выполняемой работы, вне зависимости от предыдущего образования и квалификации.</w:t>
      </w:r>
    </w:p>
    <w:p w:rsidR="00351E64" w:rsidRDefault="00351E64" w:rsidP="00351E64">
      <w:pPr>
        <w:pStyle w:val="a3"/>
        <w:jc w:val="both"/>
      </w:pPr>
      <w:r>
        <w:t> </w:t>
      </w:r>
    </w:p>
    <w:p w:rsidR="00351E64" w:rsidRDefault="00351E64" w:rsidP="00351E64">
      <w:pPr>
        <w:pStyle w:val="a3"/>
        <w:jc w:val="both"/>
      </w:pPr>
      <w:r>
        <w:lastRenderedPageBreak/>
        <w:t xml:space="preserve">Предполагается, что в связи с устоявшимися технологиями и низкими темпами их замены или модернизации, нехваткой средств на техническое перевооружение предприятий и инвестиций для выполнения должностных обязанностей вполне достаточно образования, полученного в средней школе и дополненного специальными знаниями на рабочем месте. </w:t>
      </w:r>
      <w:proofErr w:type="spellStart"/>
      <w:r>
        <w:t>Невостребованность</w:t>
      </w:r>
      <w:proofErr w:type="spellEnd"/>
      <w:r>
        <w:t xml:space="preserve"> высококвалифицированных специалистов на открытом рынке труда вызывает их отток в теневой сектор экономики, что отражается в резком сокращении занятости в официальном секторе экономики. Так, в целом по России, количество занятых в регистрируемой экономике за шесть лет (с 1992 по 1998 гг.) сократилось на 11,7%, при этом диапазон региональных различий выходит на нижнюю границу 30% и более. Максимальное сокращение занятости происходило в этот период в науке и научном обслуживании (-43,6%), которое вылилось в два явления: "утечка мозгов за рубеж" и "внутренняя утечка" (межотраслевое и межсекторное перераспределение занятых). Объяснением таких высоких темпов сокращения численности может служить как высокая профессиональная мобильность научных работников, так и "их выдавливание" в более доходные отрасли (финансовое кредитование, государственное управление, малый бизнес и др.), расширение возможностей трудоустройства в странах с развитой рыночной экономикой по своей основной специальности. К отраслям, в которых сокращение занятости нарастает, относятся: строительство (-35,9%), промышленность (-33,7%), транспорт и связь (-14,4%), сельское и лесное хозяйство (-13,3%), образование, культура и искусство (-6,5%). Данная динамика полностью отражает изменение структуры ВВП в России, когда доля услуг возросла с 32,6% в 1990 г. до 52,7% в 1998 г., а товаров упала с 60,5% до 39,3%. Вместе с тем рост деловой активности в ряде отраслей, отвечающий трансформационным изменениям макроэкономического порядка, вызвал достаточно сильное увеличение занятости в: розничной и оптовой торговле, общественном питании, МТС, сбыте и заготовках - на 63%; кредитовании, финансах и страховании - на 48,6%; ЖКХ, непроизводственных видах бытового обслуживания - на 14%.</w:t>
      </w:r>
    </w:p>
    <w:p w:rsidR="00351E64" w:rsidRDefault="00351E64" w:rsidP="00351E64">
      <w:pPr>
        <w:pStyle w:val="a3"/>
        <w:jc w:val="both"/>
      </w:pPr>
      <w:r>
        <w:t> </w:t>
      </w:r>
    </w:p>
    <w:p w:rsidR="00351E64" w:rsidRDefault="00351E64" w:rsidP="00351E64">
      <w:pPr>
        <w:pStyle w:val="a3"/>
        <w:jc w:val="both"/>
      </w:pPr>
      <w:r>
        <w:t xml:space="preserve">Существуют и другие отрасли, также характеризующиеся ростом занятости, однако происходящие изменения в них объясняются специфическими российскими особенностями, определяемыми стагнационным состоянием всего общества в целом. Так, </w:t>
      </w:r>
      <w:proofErr w:type="spellStart"/>
      <w:r>
        <w:t>беспрецендентным</w:t>
      </w:r>
      <w:proofErr w:type="spellEnd"/>
      <w:r>
        <w:t xml:space="preserve"> выглядит рост занятости в аппарате органов управления - на 103,9% (без аппарата общественных организаций), менее заметно увеличение количества работающих в здравоохранении, физической культуре и социальном обеспечении - на 5,3%. Несмотря на высокую нагрузку разнообразных чиновников на отрасли, являющиеся "стратегическими центрами роста прибыли", эффективность государственного регулирования экономики и рынка труда остается крайне низкой, что, естественно, вызывает дальнейшее стремление к усилению административного воздействия, выражающееся ростом занятости в отмеченной отрасли.</w:t>
      </w:r>
    </w:p>
    <w:p w:rsidR="00351E64" w:rsidRDefault="00351E64" w:rsidP="00351E64">
      <w:pPr>
        <w:pStyle w:val="a3"/>
        <w:jc w:val="both"/>
      </w:pPr>
      <w:r>
        <w:t> </w:t>
      </w:r>
    </w:p>
    <w:p w:rsidR="00351E64" w:rsidRDefault="00351E64" w:rsidP="00351E64">
      <w:pPr>
        <w:pStyle w:val="a3"/>
        <w:jc w:val="both"/>
      </w:pPr>
      <w:r>
        <w:t xml:space="preserve">Другим фактором, стимулирующим этот процесс, является близость к распределению бюджетных финансовых потоков, что проявляется в первоочередном росте заработной платы в органах управления при ухудшении экономической конъюнктуры, лоббировании узковедомственных и групповых интересов, расширенных возможностях сращивания с организованной преступностью и теневым капиталом. Ухудшение здоровья населения, обвальное снижение рождаемости и стремительное старение общества, рост инвалидности, бедности объективно приводят к необходимости увеличения количества и объемов финансирования социальных программ, </w:t>
      </w:r>
      <w:proofErr w:type="spellStart"/>
      <w:r>
        <w:t>дотационности</w:t>
      </w:r>
      <w:proofErr w:type="spellEnd"/>
      <w:r>
        <w:t xml:space="preserve"> содержания социальной сферы, расширению штатов медицинского персонала и органов социальной защиты. Мизерность </w:t>
      </w:r>
      <w:r>
        <w:lastRenderedPageBreak/>
        <w:t xml:space="preserve">заработной платы, ее длительные задержки и неспособность выступать в качестве "финансовой опоры" бюджетов домохозяйств в сельскохозяйственных регионах России вызывают увеличение доли трансфертов в денежных доходах населения до 50% и выше, фактически сводя роль территориальных государственных органов управления только к функциям распределения и перераспределения бюджетных дотаций с точки зрения социальной справедливости. Ситуацию осложняет </w:t>
      </w:r>
      <w:proofErr w:type="spellStart"/>
      <w:r>
        <w:t>моноструктура</w:t>
      </w:r>
      <w:proofErr w:type="spellEnd"/>
      <w:r>
        <w:t xml:space="preserve"> отдельных территорий, когда работодателем является единственное предприятие, от финансовой устойчивости которого зависит как состояние рынка труда, так и доходная часть всей социальной сферы. Возникновение кризисных ситуаций здесь приводит к углублению и массовому распространению застойной безработицы, потере квалификации, трудовому абсентеизму, резкому обострению социальной напряженности, требующей разработки и реализации специальных </w:t>
      </w:r>
      <w:proofErr w:type="spellStart"/>
      <w:r>
        <w:t>структурноориентированных</w:t>
      </w:r>
      <w:proofErr w:type="spellEnd"/>
      <w:r>
        <w:t xml:space="preserve"> программ, охватывающих всю территорию и являющихся в условиях дефицитности региональных бюджетов фактически неосуществимыми.</w:t>
      </w:r>
    </w:p>
    <w:p w:rsidR="00351E64" w:rsidRDefault="00351E64" w:rsidP="00351E64">
      <w:pPr>
        <w:pStyle w:val="a3"/>
        <w:jc w:val="both"/>
      </w:pPr>
      <w:r>
        <w:t> </w:t>
      </w:r>
    </w:p>
    <w:p w:rsidR="00351E64" w:rsidRDefault="00351E64" w:rsidP="00351E64">
      <w:pPr>
        <w:pStyle w:val="a3"/>
        <w:jc w:val="both"/>
      </w:pPr>
      <w:r>
        <w:t xml:space="preserve">Отток наиболее квалифицированной части рабочей силы из отраслей сферы материального производства наряду с возрастанием степени износа активной части основных фондов (машин, оборудования, транспортных механизмов) создает угрозу длительности процесса выхода на новый уровень макроэкономического равновесия, отвечающего требованиям обеспечения устойчивого характера экономического роста на основе наукоемких технологий и достижений НТП. Следует учесть, что потенциал сокращения занятости еще далеко не исчерпан, об этом свидетельствует его несоответствие размерам и темпам снижения ВВП, физических объемов производства товаров, работ, услуг (ФОП), что вызывает дальнейшее уменьшение численности занятых, несмотря на рост соответствующего индекса (реального ВВП, индекса ФОП). Многие крупные </w:t>
      </w:r>
      <w:proofErr w:type="spellStart"/>
      <w:r>
        <w:t>отраслеобразующие</w:t>
      </w:r>
      <w:proofErr w:type="spellEnd"/>
      <w:r>
        <w:t xml:space="preserve"> предприятия в настоящее время сталкиваются с ситуацией, когда в связи с длительными перерывами в фактическом трудовом стаже (например, находясь в длительном административном отпуске) работник теряет свою квалификацию практически полностью и неспособен к выполнению своих должностных обязанностей. Отсутствие внутрифирменной системы подготовки, повышения квалификации и переподготовки персонала вместе с практически полностью разрушенной аналогичной системой отраслевого уровня приводит к дефициту высококвалифицированной рабочей силы (например, рабочих 4-6 разрядов), несмотря на высокий уровень безработицы, что в условиях роста портфеля заказов и эффекта </w:t>
      </w:r>
      <w:proofErr w:type="spellStart"/>
      <w:r>
        <w:t>импортозамещения</w:t>
      </w:r>
      <w:proofErr w:type="spellEnd"/>
      <w:r>
        <w:t xml:space="preserve"> находит выражение в снижении качества производимой продукции и обратном "откате" на импортные комплектующие и сырье.</w:t>
      </w:r>
    </w:p>
    <w:p w:rsidR="00351E64" w:rsidRDefault="00351E64" w:rsidP="00351E64">
      <w:pPr>
        <w:pStyle w:val="a3"/>
        <w:jc w:val="both"/>
      </w:pPr>
      <w:r>
        <w:t> </w:t>
      </w:r>
    </w:p>
    <w:p w:rsidR="00351E64" w:rsidRDefault="00351E64" w:rsidP="00351E64">
      <w:pPr>
        <w:pStyle w:val="a3"/>
        <w:jc w:val="both"/>
      </w:pPr>
      <w:r>
        <w:t xml:space="preserve">В целом квалификационная структура занятости в экономике остается неудовлетворительной: в 1999 г. немногим более 20% персонала статистика относила к рабочей силе с высоким уровнем квалификации и около 40% - с низким уровнем. Особенно поражает доля неквалифицированного персонала - 15,1% в 1997 г. и 15,2% в 1998 г., сравнимая с долей работников средней и высшей квалификации. Таким образом, техническая отсталость системы рабочих мест в России трансформируется в неквалифицированную занятость, характеризующуюся высоким уровнем текучести (не менее 25% среднесписочного состава), экономической неэффективностью затрат работодателя на профессиональное обучение работников и устойчивостью своего воспроизводства. Частично сдерживающим фактором продолжает оставаться повышение образовательного уровня рабочей силы: доля лиц с высшим и средним профессиональным </w:t>
      </w:r>
      <w:r>
        <w:lastRenderedPageBreak/>
        <w:t xml:space="preserve">образованием растет среди занятых и безработных. Так, если в 1990 г. только 17,8% занятых имели полное и незаконченное высшее профессиональное образование, то в 1998 г. - 22,6%. "Частичность" этого фактора объясняется снижением качества образовательного процесса, что выражается в ухудшении качества рабочей силы, впервые выходящей на рынок труда, длительности адаптации к трудовым функциям, высоком уровне текучести, низкой </w:t>
      </w:r>
      <w:proofErr w:type="spellStart"/>
      <w:r>
        <w:t>отвественности</w:t>
      </w:r>
      <w:proofErr w:type="spellEnd"/>
      <w:r>
        <w:t xml:space="preserve"> и производительности труда. Быстрые изменения в законодательных условиях хозяйственной деятельности, развитии технологий, инновационном характере мировой экономики, ее глобализации в течение 3 лет (в ряде отраслей, например, в информационных системах и телекоммуникациях, этот срок сокращается до нескольких месяцев) после получения образования фактически делают несоответствующими условиям конкуренции полученные знания и навыки и требуют их постоянного обновления.</w:t>
      </w:r>
    </w:p>
    <w:p w:rsidR="00351E64" w:rsidRDefault="00351E64" w:rsidP="00351E64">
      <w:pPr>
        <w:pStyle w:val="a3"/>
        <w:jc w:val="both"/>
      </w:pPr>
      <w:r>
        <w:t> </w:t>
      </w:r>
    </w:p>
    <w:p w:rsidR="00351E64" w:rsidRDefault="00351E64" w:rsidP="00351E64">
      <w:pPr>
        <w:pStyle w:val="a3"/>
        <w:jc w:val="both"/>
      </w:pPr>
      <w:r>
        <w:t xml:space="preserve">Неконтролируемая "утечка" трудовых ресурсов из официальной экономики в условиях увеличения давления на рынок труда формирует своеобразные "приемники" рабочей силы, основным из которых является теневой сектор, с масштабами от 40 до 60% ВВП. В первом приближении этот сектор представляется состоящим из трех сегментов: криминального (деятельность запрещена государством законодательно для любого субъекта рыночных отношений), нерегистрируемой деятельности (законодательно разрешена, но у субъекта отсутствует лицензия или другой документ, подтверждающий легитимность осуществляемых товарно-денежных отношений), сокрытия истинных финансовых результатов (лицензия имеется, однако сознательно укрывается часть доходов от налогообложения). Привлекательность неформальной занятости объясняется не только более высокими доходами, зависящими от личной предпринимательской инициативы и возможностью уклонения от уплаты налогов, но и выбором занятости в гибком режиме рабочего времени, отсутствием формальной регламентации трудовых отношений, самостоятельностью в принятии управленческих решений. Уровень вовлеченности занятого населения в теневой сектор оценивается выше 50%, при этом широкое распространение получает многоступенчатая занятость - вторичная, третичная и т.д. Низкая степень загрузки имеющихся производственных мощностей (в пределах 45-50% в целом по промышленности в 1998 г.) компенсируется индуцированной занятостью, связанной с неформальными трудовыми отношениями, выполнением сторонних нерегистрируемых работ и </w:t>
      </w:r>
      <w:proofErr w:type="spellStart"/>
      <w:r>
        <w:t>самозанятостью</w:t>
      </w:r>
      <w:proofErr w:type="spellEnd"/>
      <w:r>
        <w:t xml:space="preserve"> на рабочем месте. Отчасти подтверждением этому являются непропорциональное снижение энергопотребления промышленностью всего в пределах 10% вместо равномерного, соответствующего 50% снижению индекса ФОП; рост числа торговых предприятий при балансовой убыточности и заработной плате в этой отрасли ниже среднеотраслевой; 40% сокращение численности занятых в малом бизнесе и переход на устные договорные отношения.</w:t>
      </w:r>
    </w:p>
    <w:p w:rsidR="00351E64" w:rsidRDefault="00351E64" w:rsidP="00351E64">
      <w:pPr>
        <w:pStyle w:val="a3"/>
        <w:jc w:val="both"/>
      </w:pPr>
      <w:r>
        <w:t> </w:t>
      </w:r>
    </w:p>
    <w:p w:rsidR="00351E64" w:rsidRDefault="00351E64" w:rsidP="00351E64">
      <w:pPr>
        <w:pStyle w:val="a3"/>
        <w:jc w:val="both"/>
      </w:pPr>
      <w:r>
        <w:t xml:space="preserve">Попытки со стороны государства предотвратить возникшее интенсивное перераспределение рабочей силы в настоящее время не дают ощутимого эффекта; принимаемые государственные программы содействия занятости ориентированы на заработки ниже прожиточного минимума и в лучшем случае играют роль социальной защиты малообеспеченных и маргинальных слоев населения, носят </w:t>
      </w:r>
      <w:proofErr w:type="spellStart"/>
      <w:r>
        <w:t>трудозатратный</w:t>
      </w:r>
      <w:proofErr w:type="spellEnd"/>
      <w:r>
        <w:t xml:space="preserve"> характер и не способствуют экономически эффективной оптимизации структуры системы рабочих мест. Финансовая база государственных программ формируется в основном за счет средств Фонда занятости населения, которая в связи с опережающим ростом потребительских цен над номинальной заработной платой, сокращением количества занятых и задолженности по уплате отчислений сжимается в реальном исчислении, о чем </w:t>
      </w:r>
      <w:r>
        <w:lastRenderedPageBreak/>
        <w:t>говорит прекращение финансирования программ создания и сохранения рабочих мест с 1996 г. по линии ФСЗ.</w:t>
      </w:r>
    </w:p>
    <w:p w:rsidR="00351E64" w:rsidRDefault="00351E64" w:rsidP="00351E64">
      <w:pPr>
        <w:pStyle w:val="a3"/>
        <w:jc w:val="both"/>
      </w:pPr>
      <w:r>
        <w:t> </w:t>
      </w:r>
    </w:p>
    <w:p w:rsidR="00351E64" w:rsidRDefault="00351E64" w:rsidP="00351E64">
      <w:pPr>
        <w:pStyle w:val="a3"/>
        <w:jc w:val="both"/>
      </w:pPr>
      <w:r>
        <w:t xml:space="preserve">Возрастающая отраслевая дифференциация реальной заработной платы - сокращение в сельском и лесном хозяйстве, рост в управлении, финансах, кредитовании и страховании - подтверждает гипотезу </w:t>
      </w:r>
      <w:proofErr w:type="spellStart"/>
      <w:r>
        <w:t>Филлипса</w:t>
      </w:r>
      <w:proofErr w:type="spellEnd"/>
      <w:r>
        <w:t xml:space="preserve"> о существовании альтернативной взаимосвязи только либо в депрессивных, либо в процветающих высокорентабельных отраслях. В других отраслях статистически значимая связь между инфляцией и занятостью не подтверждается</w:t>
      </w:r>
      <w:hyperlink r:id="rId8" w:anchor="3" w:history="1">
        <w:proofErr w:type="gramStart"/>
        <w:r>
          <w:rPr>
            <w:rStyle w:val="a5"/>
            <w:vertAlign w:val="superscript"/>
          </w:rPr>
          <w:t>3</w:t>
        </w:r>
      </w:hyperlink>
      <w:r>
        <w:t xml:space="preserve"> .</w:t>
      </w:r>
      <w:proofErr w:type="gramEnd"/>
      <w:r>
        <w:t xml:space="preserve"> В дальнейшем роль заработной платы как фактора отраслевой миграции рабочей силы и структурных изменений скорее всего будет снижаться, поскольку кумулятивный (накопленный) рост ИПЦ опережает рост номинальной заработной платы (к январю 2000 г. по сравнению с январем 1992 г. в 3,5 - 4 раза), а соотношение средней начисленной заработной платы с учетом выплат социального характера с прожиточным минимумом трудоспособного населения сократилось с 2,81 в 1992 г. до 1,89 в 1998 г. Кроме того, доля оплаты труда в структуре денежных доходов сократилась с 69,9% в 1992 г. до 38,7% в 1998 г., а доходов от собственности, предпринимательской деятельности выросла с 15,8% до 47,2%, при этом проблему создает не сам факт роста последней группы доходов, а относительный спад оплаты труда. Заметное расслоение занятых на группы по получаемым денежным доходам консервирует сложившуюся структуру "</w:t>
      </w:r>
      <w:proofErr w:type="spellStart"/>
      <w:r>
        <w:t>оплачиваемости</w:t>
      </w:r>
      <w:proofErr w:type="spellEnd"/>
      <w:r>
        <w:t>" персонала с перекосом в сторону малооплачиваемых групп работников (вторичный внутрифирменный рынок труда) и принудительный характер перераспределения доходов, прибыли и дивидендов в пользу высшего руководства предприятий ("директорского корпуса") вне зависимости от организационно-правовой формы и собственности. Это приводит к занижению оплаты высококвалифицированного труда специалистов, что находит свое выражение либо в потере квалификации, либо в частых сменах места работы.</w:t>
      </w:r>
    </w:p>
    <w:p w:rsidR="00351E64" w:rsidRDefault="00351E64" w:rsidP="00351E64">
      <w:pPr>
        <w:pStyle w:val="a3"/>
        <w:jc w:val="both"/>
      </w:pPr>
      <w:r>
        <w:t> </w:t>
      </w:r>
    </w:p>
    <w:p w:rsidR="00351E64" w:rsidRDefault="00351E64" w:rsidP="00351E64">
      <w:pPr>
        <w:pStyle w:val="a3"/>
        <w:jc w:val="both"/>
      </w:pPr>
      <w:r>
        <w:t xml:space="preserve">Другим следствием проводимой политики является возникновение на этой почве </w:t>
      </w:r>
      <w:proofErr w:type="spellStart"/>
      <w:r>
        <w:t>многочисленых</w:t>
      </w:r>
      <w:proofErr w:type="spellEnd"/>
      <w:r>
        <w:t xml:space="preserve"> конфликтов: от </w:t>
      </w:r>
      <w:proofErr w:type="spellStart"/>
      <w:r>
        <w:t>внутриличностных</w:t>
      </w:r>
      <w:proofErr w:type="spellEnd"/>
      <w:r>
        <w:t xml:space="preserve"> до </w:t>
      </w:r>
      <w:proofErr w:type="spellStart"/>
      <w:r>
        <w:t>межорганизационных</w:t>
      </w:r>
      <w:proofErr w:type="spellEnd"/>
      <w:r>
        <w:t>, когда человек, принимая решение о выборе места работы и рода деятельности, должен учитывать "расклад" противоборствующих сил в регионе и оценивать период времени, в течение которого заработная плата будет превышать ее социально приемлемый уровень.</w:t>
      </w:r>
    </w:p>
    <w:p w:rsidR="00351E64" w:rsidRDefault="00351E64" w:rsidP="00351E64">
      <w:pPr>
        <w:pStyle w:val="a3"/>
        <w:jc w:val="both"/>
      </w:pPr>
      <w:r>
        <w:t> </w:t>
      </w:r>
    </w:p>
    <w:p w:rsidR="00351E64" w:rsidRDefault="00351E64" w:rsidP="00351E64">
      <w:pPr>
        <w:pStyle w:val="a3"/>
        <w:jc w:val="both"/>
      </w:pPr>
      <w:r>
        <w:t xml:space="preserve">Создание ФСЗ как центрального института, осуществляющего государственную политику на рынке труда, характеризовалось наибольшей эффективностью в 1996 г., когда службой занятости регистрировалось 41,3% от общей численности безработных (по </w:t>
      </w:r>
      <w:proofErr w:type="spellStart"/>
      <w:r>
        <w:t>методологиии</w:t>
      </w:r>
      <w:proofErr w:type="spellEnd"/>
      <w:r>
        <w:t xml:space="preserve"> МОТ), в дальнейшем практика показала, что степень ее влияния на структурообразующие процессы рынка труда, отраслевого перераспределения занятости, результаты активной политики имеют отчетливую тенденцию к затуханию. Так, в 1997 г. доля официально зарегистрированных безработных в их общем числе сократилась до 25,0%, в 1998 г. - 22,4%, в 1999 г. - 17,3% (в целом уже длительное время изменения в уровнях безработицы по методологии МОТ и официальным данным ФСЗ колеблются в "противофазе"); аналогичная тенденция видна и из распределения численности безработных по способам поиска работы, когда доля обратившихся в ФСЗ (а значит, и с некоторой поправкой эффективность работы органов ФСЗ по трудоустройству) падает с 1996 г.: 1996 г. - 43,9%; 1997 г. - 42,3%; 1998 г. - 39,6%. Косвенным свидетельством является медленный рост среднего возраста безработных - с 33,2 года в 1995 г. до 34,3 года в 1998 г., что можно интерпретировать как </w:t>
      </w:r>
      <w:r>
        <w:lastRenderedPageBreak/>
        <w:t>изначальный отказ молодежи обращаться в органы ФСЗ в поисках работы, предпочитая непосредственное обращение к работодателю и личные связи. Таким образом, деятельность ФСЗ концентрируется на более узких социально-демографических группах старших возрастов. Эта же тенденция характеризует и занятых: средний возраст последних в 1995 г. составил 38,2 года, а в 1998 г. - 38,7, несмотря на возрастающее давление на рынок труда в связи с увеличением количества выпускников школ, средних и высших профессиональных учебных заведений. С учетом практически полного отсутствия негосударственных агентств в регионах по содействию в поиске подходящего вида деятельности (за исключением крупных городов) формирование пропорций рынка труда складывается в значительной степени стихийно, без учета стратегических интересов России, исходя, в основном, из направлений наиболее доходного вложения спекулятивного капитала.</w:t>
      </w:r>
    </w:p>
    <w:p w:rsidR="00351E64" w:rsidRDefault="00351E64" w:rsidP="00351E64">
      <w:pPr>
        <w:pStyle w:val="a3"/>
        <w:jc w:val="both"/>
      </w:pPr>
      <w:r>
        <w:t> </w:t>
      </w:r>
    </w:p>
    <w:p w:rsidR="00351E64" w:rsidRDefault="00351E64" w:rsidP="00351E64">
      <w:pPr>
        <w:pStyle w:val="a3"/>
        <w:jc w:val="both"/>
      </w:pPr>
      <w:r>
        <w:t>Региональные изменения в отраслевой структуре занятости отличаются следующими особенностями. Во-первых, спад занятости в строительстве, сельском и лесном хозяйстве, транспорте и связи, науке и научном обслуживании, образовании, культуре и искусстве, как правило, глубже, чем в среднем по России. Такое положение связано с резким сокращением возможностей региональных бюджетов поддерживать за счет собственных средств отрасли, объем работ и заказов в которых в значительной степени определялся ранее именно региональной производственной и отраслевой структурой, межрегиональными взаимосвязями, госзаказом, что в условиях кризиса в большей мере отражается на состоянии именно социальной сферы. Во-вторых, спад занятости в промышленности во многих регионах меньше, чем по России, так как промышленность рассматривается в настоящее время большинством руководителей регионов в качестве экономического "стержня" решения проблем межбюджетных отношений, налоговой недоимки, финансирования социальных программ, стратегической основы дальнейшего развития.</w:t>
      </w:r>
    </w:p>
    <w:p w:rsidR="00351E64" w:rsidRDefault="00351E64" w:rsidP="00351E64">
      <w:pPr>
        <w:pStyle w:val="a3"/>
        <w:jc w:val="both"/>
      </w:pPr>
      <w:r>
        <w:t> </w:t>
      </w:r>
    </w:p>
    <w:p w:rsidR="00351E64" w:rsidRDefault="00351E64" w:rsidP="00351E64">
      <w:pPr>
        <w:pStyle w:val="a3"/>
        <w:jc w:val="both"/>
      </w:pPr>
      <w:r>
        <w:t xml:space="preserve">В этой связи принимаются административные меры по поддержке региональной промышленности путем </w:t>
      </w:r>
      <w:proofErr w:type="spellStart"/>
      <w:r>
        <w:t>внутрирегионального</w:t>
      </w:r>
      <w:proofErr w:type="spellEnd"/>
      <w:r>
        <w:t xml:space="preserve"> перевода заказов, лоббирования интересов </w:t>
      </w:r>
      <w:proofErr w:type="spellStart"/>
      <w:r>
        <w:t>бюджетообразующих</w:t>
      </w:r>
      <w:proofErr w:type="spellEnd"/>
      <w:r>
        <w:t xml:space="preserve"> предприятий в федеральном центре, организации территориальных тендеров на поставку ГСМ, других социально и экономически значимых товаров, работ и услуг. В-третьих, меньше рост занятости в следующих отраслях: торговле, общественном питании, МТС, сбыте и заготовках, ЖКХ и непроизводственных видах бытового обслуживания, кредитовании, финансах и страховании, аппарате органов управления, что объясняется региональными особенностями выбранной модели перехода к рыночной экономике, стилем руководства со стороны исполнительной власти, меньшими возможностями международного сотрудничества, узостью </w:t>
      </w:r>
      <w:proofErr w:type="spellStart"/>
      <w:r>
        <w:t>внутрирегионального</w:t>
      </w:r>
      <w:proofErr w:type="spellEnd"/>
      <w:r>
        <w:t xml:space="preserve"> потребительского рынка и низкой покупательной способностью населения, лоббированием территориальных интересов в федеральном центре. В-четвертых, заметно отличается увеличение занятости в здравоохранении и социальном обеспечении в региональном разрезе, которое может достигать темпов прироста в 20% и более (1998 г. по сравнению с 1992 г.), что связано с серьезными региональными различиями в заболеваемости населения, уровнем загрязнения окружающей среды, старением населения (нагрузка гражданских пенсионеров на работающее население </w:t>
      </w:r>
      <w:proofErr w:type="spellStart"/>
      <w:r>
        <w:t>составяет</w:t>
      </w:r>
      <w:proofErr w:type="spellEnd"/>
      <w:r>
        <w:t xml:space="preserve"> не менее 50 на 100 человек и растет), работой занятого населения во вредных условиях (каждый 5-й в промышленности в 1998 г.). В целом по сравнению со среднероссийским уровнем темпы сокращения занятости в регионах выше и превышают 20%. Сильное развитие получает межрегиональный обмен рабочей силой (нередко в одностороннем порядке) по "вахтовому" принципу. </w:t>
      </w:r>
      <w:proofErr w:type="spellStart"/>
      <w:r>
        <w:t>Пополение</w:t>
      </w:r>
      <w:proofErr w:type="spellEnd"/>
      <w:r>
        <w:t xml:space="preserve"> персонала за счет </w:t>
      </w:r>
      <w:proofErr w:type="spellStart"/>
      <w:r>
        <w:t>межстрановой</w:t>
      </w:r>
      <w:proofErr w:type="spellEnd"/>
      <w:r>
        <w:t xml:space="preserve"> миграции (из стран СНГ) не имеет принципиального </w:t>
      </w:r>
      <w:r>
        <w:lastRenderedPageBreak/>
        <w:t>значения. Другим фактором, также оказывающим существенное влияние на отраслевую структуру занятости, является наличие предприятий нефтегазоперерабатывающего комплекса, сверхдоходы которого частично перераспределяются в виде региональных надбавок к заработной плате в бюджетных отраслях: образовании, культуре и искусстве, здравоохранении, ЖКХ, частично науке и научном обслуживании. Большую проблему представляет переход на новые принципы подбора персонала, когда основное внимание уделяется не личной лояльности претендента на рабочее место к руководителю, личным связям, "корпоративности" с предыдущей должностью и характером выполняемой работы, а уровню квалификации, фундаментальности полученного образования, качеству и результативности в достижении поставленных целей, подтвержденных на этапе предварительной стажировки и исключающих насыщение организации сотрудниками, которые не могут выполнять возложенных на них функций и одновременно не могут быть уволены по несоответствии занимаемой должности (по субъективным причинам).</w:t>
      </w:r>
    </w:p>
    <w:p w:rsidR="00351E64" w:rsidRDefault="00351E64" w:rsidP="00351E64">
      <w:pPr>
        <w:pStyle w:val="a3"/>
        <w:jc w:val="both"/>
      </w:pPr>
      <w:r>
        <w:t> </w:t>
      </w:r>
    </w:p>
    <w:p w:rsidR="00351E64" w:rsidRDefault="00351E64" w:rsidP="00351E64">
      <w:pPr>
        <w:pStyle w:val="a3"/>
        <w:jc w:val="both"/>
      </w:pPr>
      <w:r>
        <w:t xml:space="preserve">Переходный характер формирования нового типа макроэкономического равновесия в России определяет и новую структуру занятости, отраслевую концентрацию рабочей силы, особенности социально-трудовых отношений. Увеличение количества работающих в отраслях сферы услуг следует с определенным временным лагом за реструктуризацией ВВП. Отмеченная тенденция будет проявляться в течение ближайшего десятилетия, однако структура распределения занятых по отраслям в настоящее время </w:t>
      </w:r>
      <w:proofErr w:type="spellStart"/>
      <w:r>
        <w:t>труднопрогнозируема</w:t>
      </w:r>
      <w:proofErr w:type="spellEnd"/>
      <w:r>
        <w:t>, так как нестационарный переходный процесс еще не завершился и происходят заметные изменения в макроэкономической и социальной политике государства. Прогноз общего сокращения занятости за пределы базы на основе одно-, двухфакторных регрессионных зависимостей, различных эконометрических моделей говорит о фактическом исчерпании ресурсов дальнейшего спада, когда ситуация могла иметь обратимый характер; продолжение отмеченных выше тенденций в течение 10-15 лет приведет к ускорению сокращения общего количества занятых до 20-30% от уровня 1990 г.</w:t>
      </w:r>
    </w:p>
    <w:p w:rsidR="00351E64" w:rsidRDefault="00351E64" w:rsidP="00351E64">
      <w:pPr>
        <w:pStyle w:val="a3"/>
        <w:jc w:val="both"/>
      </w:pPr>
      <w:r>
        <w:t> </w:t>
      </w:r>
    </w:p>
    <w:p w:rsidR="00351E64" w:rsidRDefault="00351E64" w:rsidP="00351E64">
      <w:pPr>
        <w:pStyle w:val="a3"/>
        <w:jc w:val="both"/>
      </w:pPr>
      <w:r>
        <w:t xml:space="preserve">Трансформационные кризисы переходного периода российской экономики к рынку указывают на некоторые аналогии с моделями ядерной физики, когда атомное ядро характеризуется различными уровнями возбуждения, переход между которыми сопровождается испусканием кванта энергии. Нечто похожее происходит и с российской экономикой, которая периодически сталкивается с различными проявлениями общесистемного структурного кризиса, выражающегося в кризисе денежно-кредитной и валютной системы, затем в течение 3-6 лет функционирует в квазиравновесном состоянии. К сожалению, в результате таких "национальных особенностей" переходной экономики наиболее сильные изменения коснулись реальных денежных доходов и заработной платы, которые с 1991 г. к 2000 г. сократились более чем на 50%, усиления социальной стратификации общества, а также в целом уровня жизни населения России (с 1992 г. за чертой бедности проживало не менее 20% населения, а в отдельные года и периоды - не менее 35%). Возникают предпосылки дальнейшего продолжения описанного сценария развития, которые базируются на опережающем росте ИПЦ по сравнению с заработной платой, формировании сырьевой ориентации экспорта и колебаний конъюнктуры мирового рынка энергоносителей, масштабах и условиях обслуживания внешнего долга, осложнений внешнеполитических отношений с промышленно развитыми странами, необходимости расширенных прямых инвестиций в основные фонды экономики и резком росте затрат на социальные программы (например, бюджет Пенсионного фонда в 1998 г. превышал 50% </w:t>
      </w:r>
      <w:r>
        <w:lastRenderedPageBreak/>
        <w:t>федерального бюджета, т.е. 10 млрд. долл.), с которыми существующая налоговая система с ее 70% собираемостью налогов уже не справляется.</w:t>
      </w:r>
    </w:p>
    <w:p w:rsidR="00351E64" w:rsidRDefault="00351E64" w:rsidP="00351E64">
      <w:pPr>
        <w:pStyle w:val="a3"/>
        <w:jc w:val="both"/>
      </w:pPr>
      <w:r>
        <w:t> </w:t>
      </w:r>
    </w:p>
    <w:p w:rsidR="00351E64" w:rsidRDefault="00351E64" w:rsidP="00351E64">
      <w:pPr>
        <w:pStyle w:val="a3"/>
        <w:jc w:val="both"/>
      </w:pPr>
      <w:r>
        <w:t>Другим вероятным проявлением кризиса как инструмента быстрого реагирования на становление затухающего стабилизационного макроэкономического равновесия является четко выраженный двухуровневый характер структурных изменений, когда в пропорциях статистически регистрируемой экономики существенных изменений не происходит, однако они затрагивают теневую часть рынка товаров, работ, услуг и занятости; фактически реструктуризация происходит, но в "невидимой части спектра". Об этом свидетельствует снижение экономической активности населения с 70,3% в 1992 г. до 61,0% в 1998 г., хотя, как указывалось выше, уровень реальных денежных доходов сократился за отмеченный период более чем на 50%, и продолжает падать далее. "Подводная часть айсберга" теневой занятости продолжает нарастать, этому способствует ряд мероприятий государственной политики на отдельных рынках товаров и услуг, первоначально имеющих целью сокращение объемов нерегистрируемого оборота продукции и выручки от ее реализации. Так, например, почти двукратное повышение отпускных цен на спирт в январе 2000 года привело к резкому смещению структуры продаж алкогольной продукции в сторону неформального обращения в пропорции 60:40 (вместо 50:50 в 1999 г.), поскольку отсутствие налогообложения и ряда других издержек производства и реализации в теневом секторе делает рентабельным организацию подобного товарооборота при ценах в 2,5-3 раза меньших текущих (на официальном рынке).</w:t>
      </w:r>
    </w:p>
    <w:p w:rsidR="00351E64" w:rsidRDefault="00351E64" w:rsidP="00351E64">
      <w:pPr>
        <w:pStyle w:val="a3"/>
        <w:jc w:val="both"/>
      </w:pPr>
      <w:r>
        <w:t> </w:t>
      </w:r>
    </w:p>
    <w:p w:rsidR="00351E64" w:rsidRDefault="00351E64" w:rsidP="00351E64">
      <w:pPr>
        <w:pStyle w:val="a3"/>
        <w:jc w:val="both"/>
      </w:pPr>
      <w:r>
        <w:t>Становление активной позиции государства на рынке труда и его определяющая роль в формировании трудовых доходов населения (прямые и косвенные способы воздействия) остается в настоящее время под вопросом в связи с необходимостью изыскания значительных объемов финансовых ресурсов по проведению структурной перестройки экономики, привлечение которых неизбежно затронет социальные программы. Возможности активизации "административного" ресурса практически исчерпаны, что ограничивает применение прямых мер государственного регулирования даже на этапе внесения законодательных инициатив, не говоря уже о запуске механизмов реализации. Типичным примером может служить ситуация с квотированием рабочих мест для слабозащищенных категорий граждан, когда отсутствие денежных компенсаций работодателю со стороны бюджета, а также трудности в создании внебюджетных источников не позволяют органам исполнительной власти реально изменить ситуацию на этом сегменте рынка труда. При этом ежегодно нагрузка специализированных рабочих мест (например, для инвалидов) по отношению к стандартным возрастает и требует скорейшего решения.</w:t>
      </w:r>
    </w:p>
    <w:p w:rsidR="00351E64" w:rsidRDefault="00351E64" w:rsidP="00351E64">
      <w:pPr>
        <w:pStyle w:val="a3"/>
        <w:jc w:val="both"/>
      </w:pPr>
      <w:r>
        <w:t> </w:t>
      </w:r>
    </w:p>
    <w:p w:rsidR="00351E64" w:rsidRDefault="00351E64" w:rsidP="00351E64">
      <w:pPr>
        <w:pStyle w:val="a3"/>
        <w:jc w:val="both"/>
      </w:pPr>
      <w:r>
        <w:t xml:space="preserve">Выход из сложившегося положения на принципах неоклассического Ренессанса означает дальнейшее углубление структурных противоречий. Авторы считают в настоящей ситуации целесообразным: одновременное воздействие государства на всех участников товарно-денежных отношений, реализацию политики снижения "высоты" барьеров вступления в отрасли и, возможно, принудительное устранение государством преград на пути непосредственного взаимодействия агентов спроса и предложения; организацию "обратного" перераспределения теневого капитала в реальный сектор экономики путем установления дополнительных преимуществ легальной деятельности; оздоровление </w:t>
      </w:r>
      <w:r>
        <w:lastRenderedPageBreak/>
        <w:t>института арбитражных управляющих и всей процедуры банкротства; обеспечение быстрой ротации государственных служащих в аппарате управления, главных менеджеров на предприятиях; реализацию государственной политики в сфере амортизационных отчислений и обновления основных фондов; привлечение внутренних инвестиций, вариативный налоговый протекционизм для отечественного товаропроизводителя; конкурсный характер размещения государственных заказов и осуществление кооперации, ответственности за результаты конкурентной борьбы на рынке рабочей силы, товаров, работ и услуг.</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pStyle w:val="a3"/>
        <w:jc w:val="center"/>
      </w:pPr>
      <w:r>
        <w:rPr>
          <w:rStyle w:val="a4"/>
        </w:rPr>
        <w:lastRenderedPageBreak/>
        <w:t xml:space="preserve">ОРГАНИЗАЦИЯ И ПРОВЕДЕНИЕ МАРКЕТИНГОВЫХ МЕРОПРИЯТИЙ КАК СОСТАВНАЯ ЧАСТЬ ИННОВАЦИОННОЙ ДЕЯТЕЛЬНОСТИ ФИРМ </w:t>
      </w:r>
    </w:p>
    <w:p w:rsidR="00351E64" w:rsidRDefault="00351E64" w:rsidP="00351E64">
      <w:pPr>
        <w:pStyle w:val="a3"/>
        <w:jc w:val="center"/>
      </w:pPr>
    </w:p>
    <w:p w:rsidR="00351E64" w:rsidRDefault="00351E64" w:rsidP="00351E64">
      <w:pPr>
        <w:pStyle w:val="a3"/>
        <w:jc w:val="center"/>
      </w:pPr>
      <w:r>
        <w:rPr>
          <w:rStyle w:val="a4"/>
        </w:rPr>
        <w:t xml:space="preserve">Б.М. Эйдельман, к.э.н., доцент КГАКИ </w:t>
      </w:r>
    </w:p>
    <w:p w:rsidR="00351E64" w:rsidRDefault="00351E64" w:rsidP="00351E64">
      <w:pPr>
        <w:pStyle w:val="a3"/>
        <w:jc w:val="center"/>
      </w:pPr>
    </w:p>
    <w:p w:rsidR="00351E64" w:rsidRDefault="00351E64" w:rsidP="00351E64">
      <w:pPr>
        <w:pStyle w:val="a3"/>
        <w:jc w:val="both"/>
      </w:pPr>
      <w:r>
        <w:t>Во всем цивилизованном мире концепция маркетинга, заключающаяся в решении задач фирмы за счет максимального удовлетворения разнообразных потребностей ее клиентов, уже давно стала общепризнанной. В России, однако, она до настоящего времени сохраняет во многом инновационный характер. Это обусловлено многими причинами, главной из которых является полное отсутствие необходимости применения маркетинговых мероприятий при административно-командной системе хозяйствования. Ориентация на выполнение любой ценой директивных плановых заданий без учета изменения потребностей покупателей, монополизм производства, оплата работы не по конечному результату, а за затраты труда на производство данного продукта, уравниловка, отсутствие необходимых стимулов к высокопроизводительному труду и т.д. полностью исключали необходимость использования не только стратегического, но и оперативного маркетинга в отечественной экономике.</w:t>
      </w:r>
    </w:p>
    <w:p w:rsidR="00351E64" w:rsidRDefault="00351E64" w:rsidP="00351E64">
      <w:pPr>
        <w:pStyle w:val="a3"/>
        <w:jc w:val="both"/>
      </w:pPr>
      <w:r>
        <w:t> </w:t>
      </w:r>
    </w:p>
    <w:p w:rsidR="00351E64" w:rsidRDefault="00351E64" w:rsidP="00351E64">
      <w:pPr>
        <w:pStyle w:val="a3"/>
        <w:jc w:val="both"/>
      </w:pPr>
      <w:r>
        <w:t>Переход к рынку, начавшийся в России в начале 90-х годов, привел к использованию некоторых элементов маркетинговой деятельности. К их числу можно отнести, в частности, рекламу, мероприятия по стимулированию сбыта продукции, организацию некоторых видов сервисного обслуживания населения и некоторые другие.</w:t>
      </w:r>
    </w:p>
    <w:p w:rsidR="00351E64" w:rsidRDefault="00351E64" w:rsidP="00351E64">
      <w:pPr>
        <w:pStyle w:val="a3"/>
        <w:jc w:val="both"/>
      </w:pPr>
      <w:r>
        <w:t> </w:t>
      </w:r>
    </w:p>
    <w:p w:rsidR="00351E64" w:rsidRDefault="00351E64" w:rsidP="00351E64">
      <w:pPr>
        <w:pStyle w:val="a3"/>
        <w:jc w:val="both"/>
      </w:pPr>
      <w:r>
        <w:t>Вместе с тем, нашло полное подтверждение то обстоятельство, что применение маркетинга напрямую зависит от степени развитости в стране рыночных отношений. Чем сильнее рынок диктует методы хозяйственной деятельности предприятий и организаций, чем острее конкуренция производителей за рынки сбыта и источники сырья, тем важнее целенаправленное применение всего комплекса маркетинговых мероприятий. При этом если в первой половине 90-х годов в России практически повсеместно использовались методы оперативного маркетинга, то на рубеже нового века начали применяться и инструменты стратегического маркетинга. К ним относятся методы проведения маркетинговых исследований по изучению рынка, конкурентов, товаров и потребителей, сегментация рынка и позиционирование товара на нем, долгосрочное планирование маркетинговых мероприятий и стратегический контроль за их выполнением.</w:t>
      </w:r>
    </w:p>
    <w:p w:rsidR="00351E64" w:rsidRDefault="00351E64" w:rsidP="00351E64">
      <w:pPr>
        <w:pStyle w:val="a3"/>
        <w:jc w:val="both"/>
      </w:pPr>
      <w:r>
        <w:t> </w:t>
      </w:r>
    </w:p>
    <w:p w:rsidR="00351E64" w:rsidRDefault="00351E64" w:rsidP="00351E64">
      <w:pPr>
        <w:pStyle w:val="a3"/>
        <w:jc w:val="both"/>
      </w:pPr>
      <w:r>
        <w:t>Постепенно руководители многих предприятий, организаций и учреждений начинают осознавать исключительную значимость осуществления маркетинговой деятельности как важного инструмента в конкретной борьбе за более эффективное продвижение своих товаров на рынок.</w:t>
      </w:r>
    </w:p>
    <w:p w:rsidR="00351E64" w:rsidRDefault="00351E64" w:rsidP="00351E64">
      <w:pPr>
        <w:pStyle w:val="a3"/>
        <w:jc w:val="both"/>
      </w:pPr>
      <w:r>
        <w:t> </w:t>
      </w:r>
    </w:p>
    <w:p w:rsidR="00351E64" w:rsidRDefault="00351E64" w:rsidP="00351E64">
      <w:pPr>
        <w:pStyle w:val="a3"/>
        <w:jc w:val="both"/>
      </w:pPr>
      <w:r>
        <w:lastRenderedPageBreak/>
        <w:t>Между тем маркетинговую деятельность в России до настоящего времени в полной мере можно рассматривать как инновационную не только для руководства предприятий, но, в первую очередь, для рядовых работников. Исключительно важна роль маркетинга и в создании системы стратегического управления на предприятии.</w:t>
      </w:r>
    </w:p>
    <w:p w:rsidR="00351E64" w:rsidRDefault="00351E64" w:rsidP="00351E64">
      <w:pPr>
        <w:pStyle w:val="a3"/>
        <w:jc w:val="both"/>
      </w:pPr>
      <w:r>
        <w:t> </w:t>
      </w:r>
    </w:p>
    <w:p w:rsidR="00351E64" w:rsidRDefault="00351E64" w:rsidP="00351E64">
      <w:pPr>
        <w:pStyle w:val="a3"/>
        <w:jc w:val="both"/>
      </w:pPr>
      <w:r>
        <w:t>При определении миссии фирмы и при разработке ее основных целей невозможно не учитывать потребности клиентов и следует делать все возможное для их удовлетворения. Система стратегического управления обязательно должна базироваться на глубоком знании факторов внешней и внутренней среды предприятия, которые невозможно изучить без проведения всесторонних маркетинговых исследований. Несмотря на очевидность инновационного характера подобных мероприятий, хотелось бы остановиться на рассмотрении данного вопроса подробнее. Маркетинговые исследования выступают в настоящее время важнейшим средством минимизации коммерческого рынка и залогом успешного функционирования предприятий и организаций во всех сферах экономики страны. В современных условиях нельзя не отметить повсеместного осознания ведущей роли и значения маркетинговых исследований в деле принятия правильного управленческого решения. При этом следует учесть, что маркетинговые исследования в настоящее время проводятся практически во всех отраслях народного хозяйства, включая социально-культурную сферу. За последние годы существенно расширился научный инструментарий исследований, позволяющий оперативно обрабатывать большие массивы информации и усовершенствовать методы первичных данных. В частности, получил широкое распространение панельный метод опроса, при котором отобранная совокупность респондентов используется в течение длительного времени (до пяти лет), что позволяет получить более достоверную информацию, проследить влияние изменения настроений исследуемой совокупности людей на факторы внешней среды и прогнозировать ее реакцию на будущее.</w:t>
      </w:r>
    </w:p>
    <w:p w:rsidR="00351E64" w:rsidRDefault="00351E64" w:rsidP="00351E64">
      <w:pPr>
        <w:pStyle w:val="a3"/>
        <w:jc w:val="both"/>
      </w:pPr>
      <w:r>
        <w:t> </w:t>
      </w:r>
    </w:p>
    <w:p w:rsidR="00351E64" w:rsidRDefault="00351E64" w:rsidP="00351E64">
      <w:pPr>
        <w:pStyle w:val="a3"/>
        <w:jc w:val="both"/>
      </w:pPr>
      <w:r>
        <w:t>Если проанализировать эволюцию организации и проведения маркетинговых исследований в России, то надо отметить, что еще в конце 80-х годов эти мероприятия почти совсем не осуществлялись, а первые исследования в нашей стране были проведены на рубеже 90-х годов в крупных городах и прежде всего в Москве. Они захватили, в первую очередь, банковскую сферу, промышленность, а затем стали осуществляться и в отраслях нематериального производства, а также в сфере услуг. Так, маркетинговые исследования стали важным направлением деятельности культурно-досуговых учреждений. Содержание этих исследований чрезвычайно разнообразно. Это изучение степени удовлетворенности потребителей музейными экспозициями и театральными постановками, библиотечным обслуживанием и организацией разнообразных культурно-массовых мероприятий.</w:t>
      </w:r>
    </w:p>
    <w:p w:rsidR="00351E64" w:rsidRDefault="00351E64" w:rsidP="00351E64">
      <w:pPr>
        <w:pStyle w:val="a3"/>
        <w:jc w:val="both"/>
      </w:pPr>
      <w:r>
        <w:t> </w:t>
      </w:r>
    </w:p>
    <w:p w:rsidR="00351E64" w:rsidRDefault="00351E64" w:rsidP="00351E64">
      <w:pPr>
        <w:pStyle w:val="a3"/>
        <w:jc w:val="both"/>
      </w:pPr>
      <w:r>
        <w:t>Довольно быстро за последние годы расширилась география проведения маркетинговых исследований. Они стали проводиться не только в провинциальных центрах, но и в малых городах, и даже в сельских населенных пунктах. Они стали, по сути дела, неотъемлемым атрибутом деятельности крупных субъектов хозяйствования. Например, по Республике Татарстан широкомасштабные исследования были осуществлены в таких акционерных обществах, как "КАМАЗ", "Татнефть", "</w:t>
      </w:r>
      <w:proofErr w:type="spellStart"/>
      <w:r>
        <w:t>Нижнекамснефтехим</w:t>
      </w:r>
      <w:proofErr w:type="spellEnd"/>
      <w:r>
        <w:t>", "</w:t>
      </w:r>
      <w:proofErr w:type="spellStart"/>
      <w:r>
        <w:t>Нижнекамскшина</w:t>
      </w:r>
      <w:proofErr w:type="spellEnd"/>
      <w:r>
        <w:t xml:space="preserve">" и некоторых другие. При этом значительную потребность в информации, получаемой в результате проведения маркетинговых исследований, испытывают также малые и средние </w:t>
      </w:r>
      <w:r>
        <w:lastRenderedPageBreak/>
        <w:t>фирмы, что обусловлено усилением конкуренции на рынках подавляющего большинства видов товаров и услуг. В настоящее время такие фирмы вынуждены использовать хотя бы некоторые элементы маркетинговых исследований, такие как сбор данных о ценовой политике конкурентов, их усилиях в области стимулирования сбыта коммуникационной политики и некоторые другие сведения. Эти действия получили название "маркетинговая разведка", и без них невозможна успешная деятельность в современных условиях ни одной фирмы.</w:t>
      </w:r>
    </w:p>
    <w:p w:rsidR="00351E64" w:rsidRDefault="00351E64" w:rsidP="00351E64">
      <w:pPr>
        <w:pStyle w:val="a3"/>
        <w:jc w:val="both"/>
      </w:pPr>
      <w:r>
        <w:t> </w:t>
      </w:r>
    </w:p>
    <w:p w:rsidR="00351E64" w:rsidRDefault="00351E64" w:rsidP="00351E64">
      <w:pPr>
        <w:pStyle w:val="a3"/>
        <w:jc w:val="both"/>
      </w:pPr>
      <w:r>
        <w:t>Вместе с тем нельзя не отметить серьезных трудностей, возникающих при проведении маркетинговых исследований, обусловленных целым рядом объективных и субъективных причин. К числу первых можно отнести отсутствие законодательной базы, регламентирующей организацию сбора необходимой информации, слабое развитие консалтингового бизнеса в стране, недостаточное число высококвалифицированных специалистов в данной сфере деятельности. Среди субъективных факторов следует назвать отсутствие опыта проведения маркетинговых исследований, невозможность использования в силу нерыночного менталитета большой части населения страны всего богатейшего арсенала методов и средств сбора первичной информации, применяемых на зарубежных фирмах. Это связано с непониманием со стороны некоторых руководителей значимости непрерывного проведения маркетинговых исследований и создания на предприятиях обширных баз данных с целью осуществления на этой основе мониторинга окружающей среды. Экономия средств на маркетинговые исследования, проводимая на ряде отечественных фирм, может привести к серьезным неудачам во всех сферах деятельности и в конечном счете значительно понизить их конкурентоспособность на рынке.</w:t>
      </w:r>
    </w:p>
    <w:p w:rsidR="00351E64" w:rsidRDefault="00351E64" w:rsidP="00351E64">
      <w:pPr>
        <w:pStyle w:val="a3"/>
        <w:jc w:val="both"/>
      </w:pPr>
      <w:r>
        <w:t> </w:t>
      </w:r>
    </w:p>
    <w:p w:rsidR="00351E64" w:rsidRDefault="00351E64" w:rsidP="00351E64">
      <w:pPr>
        <w:pStyle w:val="a3"/>
        <w:jc w:val="both"/>
      </w:pPr>
      <w:r>
        <w:t>Для того, чтобы воспрепятствовать этим негативным факторам, необходимо отчислять не менее пяти процентов маркетингового бюджета фирмы на организацию проведения соответствующих маркетинговых исследований с выделением при этом в бюджете указанных средств особой строкой. Следует также всемерно способствовать быстрейшему росту и совершенствованию работы специализированных маркетинговых консалтинговых центров. Маркетинговые исследования, проводимые этими центрами по самостоятельно разработанным оригинальным методикам, должны отличаться высоком качеством и профессионализмом. Для этих организаций следует предусмотреть возможность предоставления льготных кредитов от государственных и коммерческих банков, существенные налоговые послабления и другие меры, направленные на повышение эффективности их деятельности.</w:t>
      </w:r>
    </w:p>
    <w:p w:rsidR="00351E64" w:rsidRDefault="00351E64" w:rsidP="00351E64">
      <w:pPr>
        <w:pStyle w:val="a3"/>
        <w:jc w:val="both"/>
      </w:pPr>
      <w:r>
        <w:t> </w:t>
      </w:r>
    </w:p>
    <w:p w:rsidR="00351E64" w:rsidRDefault="00351E64" w:rsidP="00351E64">
      <w:pPr>
        <w:pStyle w:val="a3"/>
        <w:jc w:val="both"/>
      </w:pPr>
      <w:r>
        <w:t>На крупных и средних предприятиях проведение маркетинговых исследований необходимо превратить в непрерывный систематический процесс контроля за внешней и внутренней маркетинговой средой. Для этого следует создать постоянно действующие маркетинговые информационные системы с обширной базой данных, с участием высокопрофессиональных специалистов различной направленности: программистов, математиков, социологов, статистиков и маркетологов. Необходимо также постоянно совершенствовать инструментарий маркетинговых исследований на основе анализа богатейшего опыта их проведения, накопленного за рубежом.</w:t>
      </w:r>
    </w:p>
    <w:p w:rsidR="00351E64" w:rsidRDefault="00351E64" w:rsidP="00351E64">
      <w:pPr>
        <w:pStyle w:val="a3"/>
        <w:jc w:val="both"/>
      </w:pPr>
      <w:r>
        <w:t> </w:t>
      </w:r>
    </w:p>
    <w:p w:rsidR="00351E64" w:rsidRDefault="00351E64" w:rsidP="00351E64">
      <w:pPr>
        <w:pStyle w:val="a3"/>
        <w:jc w:val="both"/>
      </w:pPr>
      <w:r>
        <w:lastRenderedPageBreak/>
        <w:t>Представленный далеко не полный перечень мероприятий должен способствовать усилению роли маркетинговых исследований в принятии сложнейших управленческих решений и, следовательно, повышению эффективности всего комплекса маркетинга, проводимого на отечественных предприятиях и в организациях, а также результативности системы стратегического управления в целом.</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lastRenderedPageBreak/>
        <w:t>УЧЕНИЕ ДЖ.М. КЕЙНСА В ОСВЕЩЕНИИ И ОЦЕНКЕ РОССИЙСКИХ УЧЕНЫХ</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 xml:space="preserve">С.А. Фролова, </w:t>
      </w:r>
      <w:proofErr w:type="spellStart"/>
      <w:r w:rsidRPr="00351E64">
        <w:rPr>
          <w:rFonts w:ascii="Times New Roman" w:eastAsia="Times New Roman" w:hAnsi="Times New Roman" w:cs="Times New Roman"/>
          <w:b/>
          <w:bCs/>
          <w:sz w:val="24"/>
          <w:szCs w:val="24"/>
          <w:lang w:eastAsia="ru-RU"/>
        </w:rPr>
        <w:t>к.и.н</w:t>
      </w:r>
      <w:proofErr w:type="spellEnd"/>
      <w:r w:rsidRPr="00351E64">
        <w:rPr>
          <w:rFonts w:ascii="Times New Roman" w:eastAsia="Times New Roman" w:hAnsi="Times New Roman" w:cs="Times New Roman"/>
          <w:b/>
          <w:bCs/>
          <w:sz w:val="24"/>
          <w:szCs w:val="24"/>
          <w:lang w:eastAsia="ru-RU"/>
        </w:rPr>
        <w:t xml:space="preserve">., ст. преподаватель </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Джон </w:t>
      </w:r>
      <w:proofErr w:type="spellStart"/>
      <w:r w:rsidRPr="00351E64">
        <w:rPr>
          <w:rFonts w:ascii="Times New Roman" w:eastAsia="Times New Roman" w:hAnsi="Times New Roman" w:cs="Times New Roman"/>
          <w:sz w:val="24"/>
          <w:szCs w:val="24"/>
          <w:lang w:eastAsia="ru-RU"/>
        </w:rPr>
        <w:t>Мейнард</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w:t>
      </w:r>
      <w:proofErr w:type="spellEnd"/>
      <w:r w:rsidRPr="00351E64">
        <w:rPr>
          <w:rFonts w:ascii="Times New Roman" w:eastAsia="Times New Roman" w:hAnsi="Times New Roman" w:cs="Times New Roman"/>
          <w:sz w:val="24"/>
          <w:szCs w:val="24"/>
          <w:lang w:eastAsia="ru-RU"/>
        </w:rPr>
        <w:t xml:space="preserve"> (1883-1946) - видный английский ученый-экономист, политик, общественный деятель, вошедший в историю как основатель новой экономической теории. Ряд исследователей называют ее даже "</w:t>
      </w:r>
      <w:proofErr w:type="spellStart"/>
      <w:r w:rsidRPr="00351E64">
        <w:rPr>
          <w:rFonts w:ascii="Times New Roman" w:eastAsia="Times New Roman" w:hAnsi="Times New Roman" w:cs="Times New Roman"/>
          <w:sz w:val="24"/>
          <w:szCs w:val="24"/>
          <w:lang w:eastAsia="ru-RU"/>
        </w:rPr>
        <w:t>кейсианской</w:t>
      </w:r>
      <w:proofErr w:type="spellEnd"/>
      <w:r w:rsidRPr="00351E64">
        <w:rPr>
          <w:rFonts w:ascii="Times New Roman" w:eastAsia="Times New Roman" w:hAnsi="Times New Roman" w:cs="Times New Roman"/>
          <w:sz w:val="24"/>
          <w:szCs w:val="24"/>
          <w:lang w:eastAsia="ru-RU"/>
        </w:rPr>
        <w:t xml:space="preserve"> революцией". Идеи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способствовали основательной перестройке капитализма, превращению его в смешанную систему.</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Теоретические взгляды </w:t>
      </w:r>
      <w:proofErr w:type="spellStart"/>
      <w:r w:rsidRPr="00351E64">
        <w:rPr>
          <w:rFonts w:ascii="Times New Roman" w:eastAsia="Times New Roman" w:hAnsi="Times New Roman" w:cs="Times New Roman"/>
          <w:sz w:val="24"/>
          <w:szCs w:val="24"/>
          <w:lang w:eastAsia="ru-RU"/>
        </w:rPr>
        <w:t>Дж.М</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складывались в переломный для капитализма период. В первой трети XX в. произошли изменения в рыночных отношениях. Исчезли гибкость и подвижность цен, свойственная капитализму свободной конкуренции. Укрепление позиций профсоюзов препятствовало стихийному колебанию заработной платы в зависимости от конъюнктуры рынка. Экономическая система капитализма утратила гибкость. Следствием этого стал мировой экономический кризис 1929-1936 гг. Своеобразным осмыслением этого кризиса и стала книга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"Общая теория занятости, процента и денег", изданная в Лондоне в 1936 г.</w:t>
      </w:r>
      <w:hyperlink r:id="rId9" w:anchor="6" w:history="1">
        <w:r w:rsidRPr="00351E64">
          <w:rPr>
            <w:rFonts w:ascii="Times New Roman" w:eastAsia="Times New Roman" w:hAnsi="Times New Roman" w:cs="Times New Roman"/>
            <w:color w:val="0000FF"/>
            <w:sz w:val="24"/>
            <w:szCs w:val="24"/>
            <w:u w:val="single"/>
            <w:vertAlign w:val="superscript"/>
            <w:lang w:eastAsia="ru-RU"/>
          </w:rPr>
          <w:t>6.</w:t>
        </w:r>
      </w:hyperlink>
      <w:r w:rsidRPr="00351E64">
        <w:rPr>
          <w:rFonts w:ascii="Times New Roman" w:eastAsia="Times New Roman" w:hAnsi="Times New Roman" w:cs="Times New Roman"/>
          <w:sz w:val="24"/>
          <w:szCs w:val="24"/>
          <w:lang w:eastAsia="ru-RU"/>
        </w:rPr>
        <w:t xml:space="preserve"> Она сделала его знаменитым. В ней английский экономист сформулировал главные положения той системы взглядов, которая получила название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По оценкам многих экономистов, "Общая теория" явилась поворотным пунктом в экономической науке XX в. В ней он выдвинул вопрос о необходимости государственного вмешательства в капиталистическую экономику для исправления ее недостатков. Цель статьи: показать, как рассматривалось и оценивалось учение Дж. М.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российскими учеными.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Первая работа, посвященная анализу учения </w:t>
      </w:r>
      <w:proofErr w:type="spellStart"/>
      <w:r w:rsidRPr="00351E64">
        <w:rPr>
          <w:rFonts w:ascii="Times New Roman" w:eastAsia="Times New Roman" w:hAnsi="Times New Roman" w:cs="Times New Roman"/>
          <w:sz w:val="24"/>
          <w:szCs w:val="24"/>
          <w:lang w:eastAsia="ru-RU"/>
        </w:rPr>
        <w:t>кейсианской</w:t>
      </w:r>
      <w:proofErr w:type="spellEnd"/>
      <w:r w:rsidRPr="00351E64">
        <w:rPr>
          <w:rFonts w:ascii="Times New Roman" w:eastAsia="Times New Roman" w:hAnsi="Times New Roman" w:cs="Times New Roman"/>
          <w:sz w:val="24"/>
          <w:szCs w:val="24"/>
          <w:lang w:eastAsia="ru-RU"/>
        </w:rPr>
        <w:t xml:space="preserve"> теории, появилась в 1948 г. в качестве вступительной статьи к русскому изданию книги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"Общая теория". Ее автором был И.Г. Блюмин - профессор, доктор экономических наук. Значительное место критике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он отвел в другой своей работе - "Критика современной буржуазной политической экономии Англии" (1953 г.)</w:t>
      </w:r>
      <w:hyperlink r:id="rId10" w:anchor="7" w:history="1">
        <w:r w:rsidRPr="00351E64">
          <w:rPr>
            <w:rFonts w:ascii="Times New Roman" w:eastAsia="Times New Roman" w:hAnsi="Times New Roman" w:cs="Times New Roman"/>
            <w:color w:val="0000FF"/>
            <w:sz w:val="24"/>
            <w:szCs w:val="24"/>
            <w:u w:val="single"/>
            <w:vertAlign w:val="superscript"/>
            <w:lang w:eastAsia="ru-RU"/>
          </w:rPr>
          <w:t>7</w:t>
        </w:r>
      </w:hyperlink>
      <w:r w:rsidRPr="00351E64">
        <w:rPr>
          <w:rFonts w:ascii="Times New Roman" w:eastAsia="Times New Roman" w:hAnsi="Times New Roman" w:cs="Times New Roman"/>
          <w:sz w:val="24"/>
          <w:szCs w:val="24"/>
          <w:lang w:eastAsia="ru-RU"/>
        </w:rPr>
        <w:t xml:space="preserve">. Частично положения этой книги были использованы им в монографии 1959 г. "Кризис современной политической экономии". Она содержала раздел "Значение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И.Г. Блюмин, как и его последователи (В.С. Володин, Л.Б. Альтер, Э.Я. </w:t>
      </w:r>
      <w:proofErr w:type="spellStart"/>
      <w:r w:rsidRPr="00351E64">
        <w:rPr>
          <w:rFonts w:ascii="Times New Roman" w:eastAsia="Times New Roman" w:hAnsi="Times New Roman" w:cs="Times New Roman"/>
          <w:sz w:val="24"/>
          <w:szCs w:val="24"/>
          <w:lang w:eastAsia="ru-RU"/>
        </w:rPr>
        <w:t>Брегель</w:t>
      </w:r>
      <w:proofErr w:type="spellEnd"/>
      <w:r w:rsidRPr="00351E64">
        <w:rPr>
          <w:rFonts w:ascii="Times New Roman" w:eastAsia="Times New Roman" w:hAnsi="Times New Roman" w:cs="Times New Roman"/>
          <w:sz w:val="24"/>
          <w:szCs w:val="24"/>
          <w:lang w:eastAsia="ru-RU"/>
        </w:rPr>
        <w:t xml:space="preserve">), исходил из марксистского положения о том, что капиталистическое общество находилось в стадии глубокого кризиса. Одним из его проявлений был кризис в политической экономии. Причем последнюю, вслед за В.И. Лениным, он считал партийной наукой. Именно поэтому научная критика буржуазной политической экономии представлялась советским ученым необходимой составной частью борьбы с идеологией и политикой империализма. Поэтому </w:t>
      </w:r>
      <w:proofErr w:type="spellStart"/>
      <w:r w:rsidRPr="00351E64">
        <w:rPr>
          <w:rFonts w:ascii="Times New Roman" w:eastAsia="Times New Roman" w:hAnsi="Times New Roman" w:cs="Times New Roman"/>
          <w:sz w:val="24"/>
          <w:szCs w:val="24"/>
          <w:lang w:eastAsia="ru-RU"/>
        </w:rPr>
        <w:t>Дж.М</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w:t>
      </w:r>
      <w:proofErr w:type="spellEnd"/>
      <w:r w:rsidRPr="00351E64">
        <w:rPr>
          <w:rFonts w:ascii="Times New Roman" w:eastAsia="Times New Roman" w:hAnsi="Times New Roman" w:cs="Times New Roman"/>
          <w:sz w:val="24"/>
          <w:szCs w:val="24"/>
          <w:lang w:eastAsia="ru-RU"/>
        </w:rPr>
        <w:t xml:space="preserve"> у И.Г. Блюмина прежде всего - типичный буржуазный реакционный идеолог периода общего кризиса капитализма, защитник интересов монополистического капитала и английской буржуазии, враг рабочего класса</w:t>
      </w:r>
      <w:hyperlink r:id="rId11" w:anchor="8" w:history="1">
        <w:r w:rsidRPr="00351E64">
          <w:rPr>
            <w:rFonts w:ascii="Times New Roman" w:eastAsia="Times New Roman" w:hAnsi="Times New Roman" w:cs="Times New Roman"/>
            <w:color w:val="0000FF"/>
            <w:sz w:val="24"/>
            <w:szCs w:val="24"/>
            <w:u w:val="single"/>
            <w:vertAlign w:val="superscript"/>
            <w:lang w:eastAsia="ru-RU"/>
          </w:rPr>
          <w:t>8</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xml:space="preserve">Рассматривая теорию </w:t>
      </w:r>
      <w:proofErr w:type="spellStart"/>
      <w:r w:rsidRPr="00351E64">
        <w:rPr>
          <w:rFonts w:ascii="Times New Roman" w:eastAsia="Times New Roman" w:hAnsi="Times New Roman" w:cs="Times New Roman"/>
          <w:sz w:val="24"/>
          <w:szCs w:val="24"/>
          <w:lang w:eastAsia="ru-RU"/>
        </w:rPr>
        <w:t>Дж.М</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И.Г. Блюмин большое внимание уделяет анализу исторических условий ее возникновения, показывает влияние и объясняет причины различной степени популярности </w:t>
      </w:r>
      <w:proofErr w:type="spellStart"/>
      <w:r w:rsidRPr="00351E64">
        <w:rPr>
          <w:rFonts w:ascii="Times New Roman" w:eastAsia="Times New Roman" w:hAnsi="Times New Roman" w:cs="Times New Roman"/>
          <w:sz w:val="24"/>
          <w:szCs w:val="24"/>
          <w:lang w:eastAsia="ru-RU"/>
        </w:rPr>
        <w:t>кейсианской</w:t>
      </w:r>
      <w:proofErr w:type="spellEnd"/>
      <w:r w:rsidRPr="00351E64">
        <w:rPr>
          <w:rFonts w:ascii="Times New Roman" w:eastAsia="Times New Roman" w:hAnsi="Times New Roman" w:cs="Times New Roman"/>
          <w:sz w:val="24"/>
          <w:szCs w:val="24"/>
          <w:lang w:eastAsia="ru-RU"/>
        </w:rPr>
        <w:t xml:space="preserve"> теории в США, Германии, Франции. Советский ученый, будучи сторонником марксистско-ленинской политической экономии (как писали в то время), считал, что в учении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сочеталась апология капитализма с социальной демагогией. Поэтому основная его критика направлена против теории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о возможности "усовершенствования" капитализма на основе его регулирования" буржуазным государством и "теории занятости". На деле, утверждает он, буржуазное государство может регулировать только отдельные частные процессы, но не в состоянии руководить народным хозяйством в целом </w:t>
      </w:r>
      <w:hyperlink r:id="rId12" w:anchor="9" w:history="1">
        <w:r w:rsidRPr="00351E64">
          <w:rPr>
            <w:rFonts w:ascii="Times New Roman" w:eastAsia="Times New Roman" w:hAnsi="Times New Roman" w:cs="Times New Roman"/>
            <w:color w:val="0000FF"/>
            <w:sz w:val="24"/>
            <w:szCs w:val="24"/>
            <w:u w:val="single"/>
            <w:vertAlign w:val="superscript"/>
            <w:lang w:eastAsia="ru-RU"/>
          </w:rPr>
          <w:t>9</w:t>
        </w:r>
      </w:hyperlink>
      <w:r w:rsidRPr="00351E64">
        <w:rPr>
          <w:rFonts w:ascii="Times New Roman" w:eastAsia="Times New Roman" w:hAnsi="Times New Roman" w:cs="Times New Roman"/>
          <w:sz w:val="24"/>
          <w:szCs w:val="24"/>
          <w:lang w:eastAsia="ru-RU"/>
        </w:rPr>
        <w:t xml:space="preserve">. Анализируя "теорию занятости", Блюмин приходит к заключению о том, что "суть практической программы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составляет наступление на жизненный уровень рабочих" </w:t>
      </w:r>
      <w:hyperlink r:id="rId13" w:anchor="10" w:history="1">
        <w:r w:rsidRPr="00351E64">
          <w:rPr>
            <w:rFonts w:ascii="Times New Roman" w:eastAsia="Times New Roman" w:hAnsi="Times New Roman" w:cs="Times New Roman"/>
            <w:color w:val="0000FF"/>
            <w:sz w:val="24"/>
            <w:szCs w:val="24"/>
            <w:u w:val="single"/>
            <w:vertAlign w:val="superscript"/>
            <w:lang w:eastAsia="ru-RU"/>
          </w:rPr>
          <w:t>10</w:t>
        </w:r>
      </w:hyperlink>
      <w:r w:rsidRPr="00351E64">
        <w:rPr>
          <w:rFonts w:ascii="Times New Roman" w:eastAsia="Times New Roman" w:hAnsi="Times New Roman" w:cs="Times New Roman"/>
          <w:sz w:val="24"/>
          <w:szCs w:val="24"/>
          <w:lang w:eastAsia="ru-RU"/>
        </w:rPr>
        <w:t xml:space="preserve">. Останавливается Блюмин и на "теории кризисов"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w:t>
      </w:r>
      <w:hyperlink r:id="rId14" w:anchor="11" w:history="1">
        <w:r w:rsidRPr="00351E64">
          <w:rPr>
            <w:rFonts w:ascii="Times New Roman" w:eastAsia="Times New Roman" w:hAnsi="Times New Roman" w:cs="Times New Roman"/>
            <w:color w:val="0000FF"/>
            <w:sz w:val="24"/>
            <w:szCs w:val="24"/>
            <w:u w:val="single"/>
            <w:vertAlign w:val="superscript"/>
            <w:lang w:eastAsia="ru-RU"/>
          </w:rPr>
          <w:t>11</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Новшество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И.Г. Блюмин видел в признании им существования большой самостоятельной проблемы - проблемы безработицы</w:t>
      </w:r>
      <w:hyperlink r:id="rId15" w:anchor="12" w:history="1">
        <w:r w:rsidRPr="00351E64">
          <w:rPr>
            <w:rFonts w:ascii="Times New Roman" w:eastAsia="Times New Roman" w:hAnsi="Times New Roman" w:cs="Times New Roman"/>
            <w:color w:val="0000FF"/>
            <w:sz w:val="24"/>
            <w:szCs w:val="24"/>
            <w:u w:val="single"/>
            <w:vertAlign w:val="superscript"/>
            <w:lang w:eastAsia="ru-RU"/>
          </w:rPr>
          <w:t>12</w:t>
        </w:r>
      </w:hyperlink>
      <w:r w:rsidRPr="00351E64">
        <w:rPr>
          <w:rFonts w:ascii="Times New Roman" w:eastAsia="Times New Roman" w:hAnsi="Times New Roman" w:cs="Times New Roman"/>
          <w:sz w:val="24"/>
          <w:szCs w:val="24"/>
          <w:lang w:eastAsia="ru-RU"/>
        </w:rPr>
        <w:t xml:space="preserve">. В остальном, по мнению российского ученого, </w:t>
      </w:r>
      <w:proofErr w:type="spellStart"/>
      <w:r w:rsidRPr="00351E64">
        <w:rPr>
          <w:rFonts w:ascii="Times New Roman" w:eastAsia="Times New Roman" w:hAnsi="Times New Roman" w:cs="Times New Roman"/>
          <w:sz w:val="24"/>
          <w:szCs w:val="24"/>
          <w:lang w:eastAsia="ru-RU"/>
        </w:rPr>
        <w:t>Кейнс</w:t>
      </w:r>
      <w:proofErr w:type="spellEnd"/>
      <w:r w:rsidRPr="00351E64">
        <w:rPr>
          <w:rFonts w:ascii="Times New Roman" w:eastAsia="Times New Roman" w:hAnsi="Times New Roman" w:cs="Times New Roman"/>
          <w:sz w:val="24"/>
          <w:szCs w:val="24"/>
          <w:lang w:eastAsia="ru-RU"/>
        </w:rPr>
        <w:t xml:space="preserve"> не внес ничего нового. Однако он признает, что английский экономист отказался от устаревших теорий (в частности, теории Ж.Б. </w:t>
      </w:r>
      <w:proofErr w:type="spellStart"/>
      <w:r w:rsidRPr="00351E64">
        <w:rPr>
          <w:rFonts w:ascii="Times New Roman" w:eastAsia="Times New Roman" w:hAnsi="Times New Roman" w:cs="Times New Roman"/>
          <w:sz w:val="24"/>
          <w:szCs w:val="24"/>
          <w:lang w:eastAsia="ru-RU"/>
        </w:rPr>
        <w:t>Сэя</w:t>
      </w:r>
      <w:proofErr w:type="spellEnd"/>
      <w:r w:rsidRPr="00351E64">
        <w:rPr>
          <w:rFonts w:ascii="Times New Roman" w:eastAsia="Times New Roman" w:hAnsi="Times New Roman" w:cs="Times New Roman"/>
          <w:sz w:val="24"/>
          <w:szCs w:val="24"/>
          <w:lang w:eastAsia="ru-RU"/>
        </w:rPr>
        <w:t xml:space="preserve">), выдвинув взамен тезис об усилении вмешательства государства в экономику. Причина успеха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по мнению И.Г. Блюмина, в том, что он явился новым пророком, возвещающим спасение капитализма </w:t>
      </w:r>
      <w:hyperlink r:id="rId16" w:anchor="13" w:history="1">
        <w:r w:rsidRPr="00351E64">
          <w:rPr>
            <w:rFonts w:ascii="Times New Roman" w:eastAsia="Times New Roman" w:hAnsi="Times New Roman" w:cs="Times New Roman"/>
            <w:color w:val="0000FF"/>
            <w:sz w:val="24"/>
            <w:szCs w:val="24"/>
            <w:u w:val="single"/>
            <w:vertAlign w:val="superscript"/>
            <w:lang w:eastAsia="ru-RU"/>
          </w:rPr>
          <w:t>13</w:t>
        </w:r>
      </w:hyperlink>
      <w:r w:rsidRPr="00351E64">
        <w:rPr>
          <w:rFonts w:ascii="Times New Roman" w:eastAsia="Times New Roman" w:hAnsi="Times New Roman" w:cs="Times New Roman"/>
          <w:sz w:val="24"/>
          <w:szCs w:val="24"/>
          <w:lang w:eastAsia="ru-RU"/>
        </w:rPr>
        <w:t xml:space="preserve">. "В действительности, - пишет И.Г. Блюмин, - основной смысл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заключается в том, чтобы подорвать влияние марксизма-ленинизма, противопоставив ему враждебную, пронизанную духом апологии </w:t>
      </w:r>
      <w:proofErr w:type="spellStart"/>
      <w:r w:rsidRPr="00351E64">
        <w:rPr>
          <w:rFonts w:ascii="Times New Roman" w:eastAsia="Times New Roman" w:hAnsi="Times New Roman" w:cs="Times New Roman"/>
          <w:sz w:val="24"/>
          <w:szCs w:val="24"/>
          <w:lang w:eastAsia="ru-RU"/>
        </w:rPr>
        <w:t>монополитического</w:t>
      </w:r>
      <w:proofErr w:type="spellEnd"/>
      <w:r w:rsidRPr="00351E64">
        <w:rPr>
          <w:rFonts w:ascii="Times New Roman" w:eastAsia="Times New Roman" w:hAnsi="Times New Roman" w:cs="Times New Roman"/>
          <w:sz w:val="24"/>
          <w:szCs w:val="24"/>
          <w:lang w:eastAsia="ru-RU"/>
        </w:rPr>
        <w:t xml:space="preserve"> капитала идеологию"</w:t>
      </w:r>
      <w:hyperlink r:id="rId17" w:anchor="14" w:history="1">
        <w:r w:rsidRPr="00351E64">
          <w:rPr>
            <w:rFonts w:ascii="Times New Roman" w:eastAsia="Times New Roman" w:hAnsi="Times New Roman" w:cs="Times New Roman"/>
            <w:color w:val="0000FF"/>
            <w:sz w:val="24"/>
            <w:szCs w:val="24"/>
            <w:u w:val="single"/>
            <w:vertAlign w:val="superscript"/>
            <w:lang w:eastAsia="ru-RU"/>
          </w:rPr>
          <w:t>14.</w:t>
        </w:r>
      </w:hyperlink>
      <w:r w:rsidRPr="00351E64">
        <w:rPr>
          <w:rFonts w:ascii="Times New Roman" w:eastAsia="Times New Roman" w:hAnsi="Times New Roman" w:cs="Times New Roman"/>
          <w:sz w:val="24"/>
          <w:szCs w:val="24"/>
          <w:lang w:eastAsia="ru-RU"/>
        </w:rPr>
        <w:t xml:space="preserve"> Таким образом, учение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 это буржуазная идеология, а книга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"ярко демонстрирует все убожество современных буржуазных экономистов, их полное бессилие разрешить современные проблемы капиталистической экономики"</w:t>
      </w:r>
      <w:hyperlink r:id="rId18" w:anchor="15" w:history="1">
        <w:r w:rsidRPr="00351E64">
          <w:rPr>
            <w:rFonts w:ascii="Times New Roman" w:eastAsia="Times New Roman" w:hAnsi="Times New Roman" w:cs="Times New Roman"/>
            <w:color w:val="0000FF"/>
            <w:sz w:val="24"/>
            <w:szCs w:val="24"/>
            <w:u w:val="single"/>
            <w:vertAlign w:val="superscript"/>
            <w:lang w:eastAsia="ru-RU"/>
          </w:rPr>
          <w:t>15</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Оценивая значение теории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И.Г. Блюмин пришел к выводу о том, что "</w:t>
      </w:r>
      <w:proofErr w:type="spellStart"/>
      <w:r w:rsidRPr="00351E64">
        <w:rPr>
          <w:rFonts w:ascii="Times New Roman" w:eastAsia="Times New Roman" w:hAnsi="Times New Roman" w:cs="Times New Roman"/>
          <w:sz w:val="24"/>
          <w:szCs w:val="24"/>
          <w:lang w:eastAsia="ru-RU"/>
        </w:rPr>
        <w:t>кейсианство</w:t>
      </w:r>
      <w:proofErr w:type="spellEnd"/>
      <w:r w:rsidRPr="00351E64">
        <w:rPr>
          <w:rFonts w:ascii="Times New Roman" w:eastAsia="Times New Roman" w:hAnsi="Times New Roman" w:cs="Times New Roman"/>
          <w:sz w:val="24"/>
          <w:szCs w:val="24"/>
          <w:lang w:eastAsia="ru-RU"/>
        </w:rPr>
        <w:t xml:space="preserve"> представляет собой</w:t>
      </w:r>
      <w:r w:rsidRPr="00351E64">
        <w:rPr>
          <w:rFonts w:ascii="Times New Roman" w:eastAsia="Times New Roman" w:hAnsi="Times New Roman" w:cs="Times New Roman"/>
          <w:b/>
          <w:bCs/>
          <w:sz w:val="24"/>
          <w:szCs w:val="24"/>
          <w:lang w:eastAsia="ru-RU"/>
        </w:rPr>
        <w:t xml:space="preserve"> попытку перестройки буржуазной политической экономии</w:t>
      </w:r>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выд</w:t>
      </w:r>
      <w:proofErr w:type="spellEnd"/>
      <w:r w:rsidRPr="00351E64">
        <w:rPr>
          <w:rFonts w:ascii="Times New Roman" w:eastAsia="Times New Roman" w:hAnsi="Times New Roman" w:cs="Times New Roman"/>
          <w:sz w:val="24"/>
          <w:szCs w:val="24"/>
          <w:lang w:eastAsia="ru-RU"/>
        </w:rPr>
        <w:t>. Мною. - Ф.С.) в связи с новыми задачами, вставшими перед буржуазией в период общего кризиса капитализма"</w:t>
      </w:r>
      <w:hyperlink r:id="rId19" w:anchor="16" w:history="1">
        <w:r w:rsidRPr="00351E64">
          <w:rPr>
            <w:rFonts w:ascii="Times New Roman" w:eastAsia="Times New Roman" w:hAnsi="Times New Roman" w:cs="Times New Roman"/>
            <w:color w:val="0000FF"/>
            <w:sz w:val="24"/>
            <w:szCs w:val="24"/>
            <w:u w:val="single"/>
            <w:vertAlign w:val="superscript"/>
            <w:lang w:eastAsia="ru-RU"/>
          </w:rPr>
          <w:t>16</w:t>
        </w:r>
      </w:hyperlink>
      <w:r w:rsidRPr="00351E64">
        <w:rPr>
          <w:rFonts w:ascii="Times New Roman" w:eastAsia="Times New Roman" w:hAnsi="Times New Roman" w:cs="Times New Roman"/>
          <w:sz w:val="24"/>
          <w:szCs w:val="24"/>
          <w:lang w:eastAsia="ru-RU"/>
        </w:rPr>
        <w:t>. Эта теория, по мнению И.Г. Блюмина, освящает "милитаризацию хозяйства, военную подготовку и саму войну как отдушину от экономических кризисов"</w:t>
      </w:r>
      <w:hyperlink r:id="rId20" w:anchor="17" w:history="1">
        <w:r w:rsidRPr="00351E64">
          <w:rPr>
            <w:rFonts w:ascii="Times New Roman" w:eastAsia="Times New Roman" w:hAnsi="Times New Roman" w:cs="Times New Roman"/>
            <w:color w:val="0000FF"/>
            <w:sz w:val="24"/>
            <w:szCs w:val="24"/>
            <w:u w:val="single"/>
            <w:vertAlign w:val="superscript"/>
            <w:lang w:eastAsia="ru-RU"/>
          </w:rPr>
          <w:t>17</w:t>
        </w:r>
      </w:hyperlink>
      <w:r w:rsidRPr="00351E64">
        <w:rPr>
          <w:rFonts w:ascii="Times New Roman" w:eastAsia="Times New Roman" w:hAnsi="Times New Roman" w:cs="Times New Roman"/>
          <w:sz w:val="24"/>
          <w:szCs w:val="24"/>
          <w:lang w:eastAsia="ru-RU"/>
        </w:rPr>
        <w:t xml:space="preserve">. На последний тезис о пропаганде якобы </w:t>
      </w:r>
      <w:proofErr w:type="spellStart"/>
      <w:r w:rsidRPr="00351E64">
        <w:rPr>
          <w:rFonts w:ascii="Times New Roman" w:eastAsia="Times New Roman" w:hAnsi="Times New Roman" w:cs="Times New Roman"/>
          <w:sz w:val="24"/>
          <w:szCs w:val="24"/>
          <w:lang w:eastAsia="ru-RU"/>
        </w:rPr>
        <w:t>Кейнсом</w:t>
      </w:r>
      <w:proofErr w:type="spellEnd"/>
      <w:r w:rsidRPr="00351E64">
        <w:rPr>
          <w:rFonts w:ascii="Times New Roman" w:eastAsia="Times New Roman" w:hAnsi="Times New Roman" w:cs="Times New Roman"/>
          <w:sz w:val="24"/>
          <w:szCs w:val="24"/>
          <w:lang w:eastAsia="ru-RU"/>
        </w:rPr>
        <w:t xml:space="preserve"> военно-инфляционной конъюнктуры с целью обеспечения максимума прибыли для монополий И.Г. Блюминым делается особый акцент в книге 1953 г. Более взвешенную оценку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дает этот ученый в одной из своих последних работ - "Кризис современной политической экономии" (1959). Он считает необходимым разграничить теории "регулируемого капитализма" как "суммарное направление политической экономии и </w:t>
      </w:r>
      <w:proofErr w:type="spellStart"/>
      <w:r w:rsidRPr="00351E64">
        <w:rPr>
          <w:rFonts w:ascii="Times New Roman" w:eastAsia="Times New Roman" w:hAnsi="Times New Roman" w:cs="Times New Roman"/>
          <w:sz w:val="24"/>
          <w:szCs w:val="24"/>
          <w:lang w:eastAsia="ru-RU"/>
        </w:rPr>
        <w:t>кейсианство</w:t>
      </w:r>
      <w:proofErr w:type="spellEnd"/>
      <w:r w:rsidRPr="00351E64">
        <w:rPr>
          <w:rFonts w:ascii="Times New Roman" w:eastAsia="Times New Roman" w:hAnsi="Times New Roman" w:cs="Times New Roman"/>
          <w:sz w:val="24"/>
          <w:szCs w:val="24"/>
          <w:lang w:eastAsia="ru-RU"/>
        </w:rPr>
        <w:t xml:space="preserve"> как частное его проявление", важнейший, наиболее яркий и наиболее известный вариант этих теорий </w:t>
      </w:r>
      <w:hyperlink r:id="rId21" w:anchor="18" w:history="1">
        <w:r w:rsidRPr="00351E64">
          <w:rPr>
            <w:rFonts w:ascii="Times New Roman" w:eastAsia="Times New Roman" w:hAnsi="Times New Roman" w:cs="Times New Roman"/>
            <w:color w:val="0000FF"/>
            <w:sz w:val="24"/>
            <w:szCs w:val="24"/>
            <w:u w:val="single"/>
            <w:vertAlign w:val="superscript"/>
            <w:lang w:eastAsia="ru-RU"/>
          </w:rPr>
          <w:t>18</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Советский ученый констатирует, что идеи "регулируемого капитализма" были выдвинуты задолго до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Причины успеха </w:t>
      </w:r>
      <w:proofErr w:type="spellStart"/>
      <w:r w:rsidRPr="00351E64">
        <w:rPr>
          <w:rFonts w:ascii="Times New Roman" w:eastAsia="Times New Roman" w:hAnsi="Times New Roman" w:cs="Times New Roman"/>
          <w:sz w:val="24"/>
          <w:szCs w:val="24"/>
          <w:lang w:eastAsia="ru-RU"/>
        </w:rPr>
        <w:t>Дж.М</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были в попытках перестроить теоретический аппарат и пересмотреть всю политическую экономию под углом зрения новых практических требований, "отбросить старые теории, которые стали препятствием для оправдания программ спасения и укрепления капитализма"</w:t>
      </w:r>
      <w:hyperlink r:id="rId22" w:anchor="19" w:history="1">
        <w:r w:rsidRPr="00351E64">
          <w:rPr>
            <w:rFonts w:ascii="Times New Roman" w:eastAsia="Times New Roman" w:hAnsi="Times New Roman" w:cs="Times New Roman"/>
            <w:color w:val="0000FF"/>
            <w:sz w:val="24"/>
            <w:szCs w:val="24"/>
            <w:u w:val="single"/>
            <w:vertAlign w:val="superscript"/>
            <w:lang w:eastAsia="ru-RU"/>
          </w:rPr>
          <w:t>19</w:t>
        </w:r>
      </w:hyperlink>
      <w:r w:rsidRPr="00351E64">
        <w:rPr>
          <w:rFonts w:ascii="Times New Roman" w:eastAsia="Times New Roman" w:hAnsi="Times New Roman" w:cs="Times New Roman"/>
          <w:sz w:val="24"/>
          <w:szCs w:val="24"/>
          <w:lang w:eastAsia="ru-RU"/>
        </w:rPr>
        <w:t xml:space="preserve">. Поэтому, несмотря на </w:t>
      </w:r>
      <w:r w:rsidRPr="00351E64">
        <w:rPr>
          <w:rFonts w:ascii="Times New Roman" w:eastAsia="Times New Roman" w:hAnsi="Times New Roman" w:cs="Times New Roman"/>
          <w:sz w:val="24"/>
          <w:szCs w:val="24"/>
          <w:lang w:eastAsia="ru-RU"/>
        </w:rPr>
        <w:lastRenderedPageBreak/>
        <w:t xml:space="preserve">большую полемику, которая ведется вокруг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большинство практических предложений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получило широкое признание.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За более двадцать лет, прошедших со времени выхода в свет "Общей теории"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изменения в политической и экономической жизни России и зарубежных стран привели И.Г. Блюмина к мысли о том, что теория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"дала толчок для осуществления ряда антикризисных мероприятий в некоторых капиталистических странах" и оказала "значительное влияние на буржуазную экономическую мысль и на экономическую политику капиталистических государств"</w:t>
      </w:r>
      <w:hyperlink r:id="rId23" w:anchor="20" w:history="1">
        <w:r w:rsidRPr="00351E64">
          <w:rPr>
            <w:rFonts w:ascii="Times New Roman" w:eastAsia="Times New Roman" w:hAnsi="Times New Roman" w:cs="Times New Roman"/>
            <w:color w:val="0000FF"/>
            <w:sz w:val="24"/>
            <w:szCs w:val="24"/>
            <w:u w:val="single"/>
            <w:vertAlign w:val="superscript"/>
            <w:lang w:eastAsia="ru-RU"/>
          </w:rPr>
          <w:t>20</w:t>
        </w:r>
      </w:hyperlink>
      <w:r w:rsidRPr="00351E64">
        <w:rPr>
          <w:rFonts w:ascii="Times New Roman" w:eastAsia="Times New Roman" w:hAnsi="Times New Roman" w:cs="Times New Roman"/>
          <w:sz w:val="24"/>
          <w:szCs w:val="24"/>
          <w:lang w:eastAsia="ru-RU"/>
        </w:rPr>
        <w:t xml:space="preserve">. По мнению Блюмина, сам факт столь широкого распространения идей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"в течение длительного времени свидетельствует о том, что </w:t>
      </w:r>
      <w:proofErr w:type="spellStart"/>
      <w:r w:rsidRPr="00351E64">
        <w:rPr>
          <w:rFonts w:ascii="Times New Roman" w:eastAsia="Times New Roman" w:hAnsi="Times New Roman" w:cs="Times New Roman"/>
          <w:sz w:val="24"/>
          <w:szCs w:val="24"/>
          <w:lang w:eastAsia="ru-RU"/>
        </w:rPr>
        <w:t>кейсианство</w:t>
      </w:r>
      <w:proofErr w:type="spellEnd"/>
      <w:r w:rsidRPr="00351E64">
        <w:rPr>
          <w:rFonts w:ascii="Times New Roman" w:eastAsia="Times New Roman" w:hAnsi="Times New Roman" w:cs="Times New Roman"/>
          <w:sz w:val="24"/>
          <w:szCs w:val="24"/>
          <w:lang w:eastAsia="ru-RU"/>
        </w:rPr>
        <w:t xml:space="preserve"> является</w:t>
      </w:r>
      <w:r w:rsidRPr="00351E64">
        <w:rPr>
          <w:rFonts w:ascii="Times New Roman" w:eastAsia="Times New Roman" w:hAnsi="Times New Roman" w:cs="Times New Roman"/>
          <w:b/>
          <w:bCs/>
          <w:sz w:val="24"/>
          <w:szCs w:val="24"/>
          <w:lang w:eastAsia="ru-RU"/>
        </w:rPr>
        <w:t xml:space="preserve"> ведущим направлением</w:t>
      </w:r>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выд</w:t>
      </w:r>
      <w:proofErr w:type="spellEnd"/>
      <w:r w:rsidRPr="00351E64">
        <w:rPr>
          <w:rFonts w:ascii="Times New Roman" w:eastAsia="Times New Roman" w:hAnsi="Times New Roman" w:cs="Times New Roman"/>
          <w:sz w:val="24"/>
          <w:szCs w:val="24"/>
          <w:lang w:eastAsia="ru-RU"/>
        </w:rPr>
        <w:t>. мною. - Ф.С.) в современной буржуазной политической экономии"</w:t>
      </w:r>
      <w:hyperlink r:id="rId24" w:anchor="21" w:history="1">
        <w:r w:rsidRPr="00351E64">
          <w:rPr>
            <w:rFonts w:ascii="Times New Roman" w:eastAsia="Times New Roman" w:hAnsi="Times New Roman" w:cs="Times New Roman"/>
            <w:color w:val="0000FF"/>
            <w:sz w:val="24"/>
            <w:szCs w:val="24"/>
            <w:u w:val="single"/>
            <w:vertAlign w:val="superscript"/>
            <w:lang w:eastAsia="ru-RU"/>
          </w:rPr>
          <w:t>21</w:t>
        </w:r>
      </w:hyperlink>
      <w:r w:rsidRPr="00351E64">
        <w:rPr>
          <w:rFonts w:ascii="Times New Roman" w:eastAsia="Times New Roman" w:hAnsi="Times New Roman" w:cs="Times New Roman"/>
          <w:sz w:val="24"/>
          <w:szCs w:val="24"/>
          <w:lang w:eastAsia="ru-RU"/>
        </w:rPr>
        <w:t xml:space="preserve">. Заметим, что шесть лет назад И.Г. Блюмин писал, что </w:t>
      </w:r>
      <w:proofErr w:type="spellStart"/>
      <w:r w:rsidRPr="00351E64">
        <w:rPr>
          <w:rFonts w:ascii="Times New Roman" w:eastAsia="Times New Roman" w:hAnsi="Times New Roman" w:cs="Times New Roman"/>
          <w:sz w:val="24"/>
          <w:szCs w:val="24"/>
          <w:lang w:eastAsia="ru-RU"/>
        </w:rPr>
        <w:t>кейсианство</w:t>
      </w:r>
      <w:proofErr w:type="spellEnd"/>
      <w:r w:rsidRPr="00351E64">
        <w:rPr>
          <w:rFonts w:ascii="Times New Roman" w:eastAsia="Times New Roman" w:hAnsi="Times New Roman" w:cs="Times New Roman"/>
          <w:sz w:val="24"/>
          <w:szCs w:val="24"/>
          <w:lang w:eastAsia="ru-RU"/>
        </w:rPr>
        <w:t xml:space="preserve"> только</w:t>
      </w:r>
      <w:r w:rsidRPr="00351E64">
        <w:rPr>
          <w:rFonts w:ascii="Times New Roman" w:eastAsia="Times New Roman" w:hAnsi="Times New Roman" w:cs="Times New Roman"/>
          <w:b/>
          <w:bCs/>
          <w:sz w:val="24"/>
          <w:szCs w:val="24"/>
          <w:lang w:eastAsia="ru-RU"/>
        </w:rPr>
        <w:t xml:space="preserve"> типичное</w:t>
      </w:r>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выд</w:t>
      </w:r>
      <w:proofErr w:type="spellEnd"/>
      <w:r w:rsidRPr="00351E64">
        <w:rPr>
          <w:rFonts w:ascii="Times New Roman" w:eastAsia="Times New Roman" w:hAnsi="Times New Roman" w:cs="Times New Roman"/>
          <w:sz w:val="24"/>
          <w:szCs w:val="24"/>
          <w:lang w:eastAsia="ru-RU"/>
        </w:rPr>
        <w:t>. мною. - Ф.С.) выражение современной буржуазной политической экономии</w:t>
      </w:r>
      <w:hyperlink r:id="rId25" w:anchor="22" w:history="1">
        <w:r w:rsidRPr="00351E64">
          <w:rPr>
            <w:rFonts w:ascii="Times New Roman" w:eastAsia="Times New Roman" w:hAnsi="Times New Roman" w:cs="Times New Roman"/>
            <w:color w:val="0000FF"/>
            <w:sz w:val="24"/>
            <w:szCs w:val="24"/>
            <w:u w:val="single"/>
            <w:vertAlign w:val="superscript"/>
            <w:lang w:eastAsia="ru-RU"/>
          </w:rPr>
          <w:t>22</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Таким образом, в анализе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Блюмин остался на прежних позициях, а в оценке значения этого учения он сделал значительный шаг вперед. Оценки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данные И.Г. Блюминым в работах 1948 и 1953 гг., были повторены В.С. Володиным в его монографии "</w:t>
      </w:r>
      <w:proofErr w:type="spellStart"/>
      <w:r w:rsidRPr="00351E64">
        <w:rPr>
          <w:rFonts w:ascii="Times New Roman" w:eastAsia="Times New Roman" w:hAnsi="Times New Roman" w:cs="Times New Roman"/>
          <w:sz w:val="24"/>
          <w:szCs w:val="24"/>
          <w:lang w:eastAsia="ru-RU"/>
        </w:rPr>
        <w:t>Дж.М</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w:t>
      </w:r>
      <w:proofErr w:type="spellEnd"/>
      <w:r w:rsidRPr="00351E64">
        <w:rPr>
          <w:rFonts w:ascii="Times New Roman" w:eastAsia="Times New Roman" w:hAnsi="Times New Roman" w:cs="Times New Roman"/>
          <w:sz w:val="24"/>
          <w:szCs w:val="24"/>
          <w:lang w:eastAsia="ru-RU"/>
        </w:rPr>
        <w:t xml:space="preserve"> - идеолог монополистического капитализма", а также Л.Б. Альтером в работах "Критика теорий "регулируемого капитализма" (1957) и "Буржуазная политическая экономия США" (1961). В.С. Володин, как и И.Г. Блюмин, с позиций марксистско-ленинского учения подошел к критике основных положений теории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использовав высказывания И.В. Сталина и др. партийных деятелей. Яркая идеологическая направленность этой работы прослеживается даже по названиям отдельных ее разделов. Например, "</w:t>
      </w:r>
      <w:proofErr w:type="spellStart"/>
      <w:r w:rsidRPr="00351E64">
        <w:rPr>
          <w:rFonts w:ascii="Times New Roman" w:eastAsia="Times New Roman" w:hAnsi="Times New Roman" w:cs="Times New Roman"/>
          <w:sz w:val="24"/>
          <w:szCs w:val="24"/>
          <w:lang w:eastAsia="ru-RU"/>
        </w:rPr>
        <w:t>Кейсианство</w:t>
      </w:r>
      <w:proofErr w:type="spellEnd"/>
      <w:r w:rsidRPr="00351E64">
        <w:rPr>
          <w:rFonts w:ascii="Times New Roman" w:eastAsia="Times New Roman" w:hAnsi="Times New Roman" w:cs="Times New Roman"/>
          <w:sz w:val="24"/>
          <w:szCs w:val="24"/>
          <w:lang w:eastAsia="ru-RU"/>
        </w:rPr>
        <w:t xml:space="preserve"> - характерное выражение вульгарной политической экономии периода общего кризиса капитализма", "Апологетика капитализма и защита интересов монополистического капитала - цель всех сочинений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"Измышления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основаны на затасканных вульгарных положениях и приемах", "Миф о способности буржуазного государства регулировать экономику", "</w:t>
      </w:r>
      <w:proofErr w:type="spellStart"/>
      <w:r w:rsidRPr="00351E64">
        <w:rPr>
          <w:rFonts w:ascii="Times New Roman" w:eastAsia="Times New Roman" w:hAnsi="Times New Roman" w:cs="Times New Roman"/>
          <w:sz w:val="24"/>
          <w:szCs w:val="24"/>
          <w:lang w:eastAsia="ru-RU"/>
        </w:rPr>
        <w:t>Кейнс</w:t>
      </w:r>
      <w:proofErr w:type="spellEnd"/>
      <w:r w:rsidRPr="00351E64">
        <w:rPr>
          <w:rFonts w:ascii="Times New Roman" w:eastAsia="Times New Roman" w:hAnsi="Times New Roman" w:cs="Times New Roman"/>
          <w:sz w:val="24"/>
          <w:szCs w:val="24"/>
          <w:lang w:eastAsia="ru-RU"/>
        </w:rPr>
        <w:t xml:space="preserve"> - враг мира, демократии и социализма", "Идеологическое оправдание империалистической реакции и войны - существо </w:t>
      </w:r>
      <w:proofErr w:type="spellStart"/>
      <w:r w:rsidRPr="00351E64">
        <w:rPr>
          <w:rFonts w:ascii="Times New Roman" w:eastAsia="Times New Roman" w:hAnsi="Times New Roman" w:cs="Times New Roman"/>
          <w:sz w:val="24"/>
          <w:szCs w:val="24"/>
          <w:lang w:eastAsia="ru-RU"/>
        </w:rPr>
        <w:t>кейсианской</w:t>
      </w:r>
      <w:proofErr w:type="spellEnd"/>
      <w:r w:rsidRPr="00351E64">
        <w:rPr>
          <w:rFonts w:ascii="Times New Roman" w:eastAsia="Times New Roman" w:hAnsi="Times New Roman" w:cs="Times New Roman"/>
          <w:sz w:val="24"/>
          <w:szCs w:val="24"/>
          <w:lang w:eastAsia="ru-RU"/>
        </w:rPr>
        <w:t xml:space="preserve"> программы "регулирования капитализма". По мнению Володина </w:t>
      </w:r>
      <w:proofErr w:type="spellStart"/>
      <w:r w:rsidRPr="00351E64">
        <w:rPr>
          <w:rFonts w:ascii="Times New Roman" w:eastAsia="Times New Roman" w:hAnsi="Times New Roman" w:cs="Times New Roman"/>
          <w:sz w:val="24"/>
          <w:szCs w:val="24"/>
          <w:lang w:eastAsia="ru-RU"/>
        </w:rPr>
        <w:t>Кейнс</w:t>
      </w:r>
      <w:proofErr w:type="spellEnd"/>
      <w:r w:rsidRPr="00351E64">
        <w:rPr>
          <w:rFonts w:ascii="Times New Roman" w:eastAsia="Times New Roman" w:hAnsi="Times New Roman" w:cs="Times New Roman"/>
          <w:sz w:val="24"/>
          <w:szCs w:val="24"/>
          <w:lang w:eastAsia="ru-RU"/>
        </w:rPr>
        <w:t xml:space="preserve"> не </w:t>
      </w:r>
      <w:proofErr w:type="spellStart"/>
      <w:r w:rsidRPr="00351E64">
        <w:rPr>
          <w:rFonts w:ascii="Times New Roman" w:eastAsia="Times New Roman" w:hAnsi="Times New Roman" w:cs="Times New Roman"/>
          <w:sz w:val="24"/>
          <w:szCs w:val="24"/>
          <w:lang w:eastAsia="ru-RU"/>
        </w:rPr>
        <w:t>совершин</w:t>
      </w:r>
      <w:proofErr w:type="spellEnd"/>
      <w:r w:rsidRPr="00351E64">
        <w:rPr>
          <w:rFonts w:ascii="Times New Roman" w:eastAsia="Times New Roman" w:hAnsi="Times New Roman" w:cs="Times New Roman"/>
          <w:sz w:val="24"/>
          <w:szCs w:val="24"/>
          <w:lang w:eastAsia="ru-RU"/>
        </w:rPr>
        <w:t xml:space="preserve"> никакой революции, а ошибочность его выводов объясняется неправильными исходными положениями</w:t>
      </w:r>
      <w:hyperlink r:id="rId26" w:anchor="23" w:history="1">
        <w:r w:rsidRPr="00351E64">
          <w:rPr>
            <w:rFonts w:ascii="Times New Roman" w:eastAsia="Times New Roman" w:hAnsi="Times New Roman" w:cs="Times New Roman"/>
            <w:color w:val="0000FF"/>
            <w:sz w:val="24"/>
            <w:szCs w:val="24"/>
            <w:u w:val="single"/>
            <w:vertAlign w:val="superscript"/>
            <w:lang w:eastAsia="ru-RU"/>
          </w:rPr>
          <w:t>23</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Л.Б. Альтер, как и его предшественники, стремится раскрыть классовую сущность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"как теории и программы наступления на жизненный уровень рабочего класса"</w:t>
      </w:r>
      <w:hyperlink r:id="rId27" w:anchor="24" w:history="1">
        <w:r w:rsidRPr="00351E64">
          <w:rPr>
            <w:rFonts w:ascii="Times New Roman" w:eastAsia="Times New Roman" w:hAnsi="Times New Roman" w:cs="Times New Roman"/>
            <w:color w:val="0000FF"/>
            <w:sz w:val="24"/>
            <w:szCs w:val="24"/>
            <w:u w:val="single"/>
            <w:vertAlign w:val="superscript"/>
            <w:lang w:eastAsia="ru-RU"/>
          </w:rPr>
          <w:t>24</w:t>
        </w:r>
      </w:hyperlink>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Кейсианская</w:t>
      </w:r>
      <w:proofErr w:type="spellEnd"/>
      <w:r w:rsidRPr="00351E64">
        <w:rPr>
          <w:rFonts w:ascii="Times New Roman" w:eastAsia="Times New Roman" w:hAnsi="Times New Roman" w:cs="Times New Roman"/>
          <w:sz w:val="24"/>
          <w:szCs w:val="24"/>
          <w:lang w:eastAsia="ru-RU"/>
        </w:rPr>
        <w:t xml:space="preserve"> экономическая теория, по его мнению, "лишь новая форма вульгарной экономии, скользящей по поверхности явлений и бессильной выяснить их объективную основу"</w:t>
      </w:r>
      <w:hyperlink r:id="rId28" w:anchor="25" w:history="1">
        <w:r w:rsidRPr="00351E64">
          <w:rPr>
            <w:rFonts w:ascii="Times New Roman" w:eastAsia="Times New Roman" w:hAnsi="Times New Roman" w:cs="Times New Roman"/>
            <w:color w:val="0000FF"/>
            <w:sz w:val="24"/>
            <w:szCs w:val="24"/>
            <w:u w:val="single"/>
            <w:vertAlign w:val="superscript"/>
            <w:lang w:eastAsia="ru-RU"/>
          </w:rPr>
          <w:t>25</w:t>
        </w:r>
      </w:hyperlink>
      <w:r w:rsidRPr="00351E64">
        <w:rPr>
          <w:rFonts w:ascii="Times New Roman" w:eastAsia="Times New Roman" w:hAnsi="Times New Roman" w:cs="Times New Roman"/>
          <w:sz w:val="24"/>
          <w:szCs w:val="24"/>
          <w:lang w:eastAsia="ru-RU"/>
        </w:rPr>
        <w:t xml:space="preserve">. Книга В.С. Володина отличается от работ И.Г. Блюмина и Л.Б. Альтера не только большой политизированностью, но и нарастанием враждебности в оценке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Последнее связано, на мой взгляд, с обострением международных отношений, расколом мира на два враждебных лагеря - социализма и капитализма, а главное - с началом "холодной войны".</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xml:space="preserve">В 1972 г. вышла в свет монография Э.Я. </w:t>
      </w:r>
      <w:proofErr w:type="spellStart"/>
      <w:r w:rsidRPr="00351E64">
        <w:rPr>
          <w:rFonts w:ascii="Times New Roman" w:eastAsia="Times New Roman" w:hAnsi="Times New Roman" w:cs="Times New Roman"/>
          <w:sz w:val="24"/>
          <w:szCs w:val="24"/>
          <w:lang w:eastAsia="ru-RU"/>
        </w:rPr>
        <w:t>Брегеля</w:t>
      </w:r>
      <w:proofErr w:type="spellEnd"/>
      <w:r w:rsidRPr="00351E64">
        <w:rPr>
          <w:rFonts w:ascii="Times New Roman" w:eastAsia="Times New Roman" w:hAnsi="Times New Roman" w:cs="Times New Roman"/>
          <w:sz w:val="24"/>
          <w:szCs w:val="24"/>
          <w:lang w:eastAsia="ru-RU"/>
        </w:rPr>
        <w:t xml:space="preserve"> "Критика буржуазных учений об экономической системе современного капитализма". В ней он поставил цель проанализировать различные теории трансформации капитализма. Причем критика велась им в четырех направлениях. Во-первых, он стремился доказать, что методология буржуазных экономистов идет вразрез с научным методом исследования экономического строя общества. Во-вторых, он пытался выявить логическую несостоятельность этих теорий. В-третьих, хотел установить, что вышеназванные концепции находятся в противоречии с фактами. В-четвертых, попытался раскрыть их классовую сущность</w:t>
      </w:r>
      <w:hyperlink r:id="rId29" w:anchor="26" w:history="1">
        <w:r w:rsidRPr="00351E64">
          <w:rPr>
            <w:rFonts w:ascii="Times New Roman" w:eastAsia="Times New Roman" w:hAnsi="Times New Roman" w:cs="Times New Roman"/>
            <w:color w:val="0000FF"/>
            <w:sz w:val="24"/>
            <w:szCs w:val="24"/>
            <w:u w:val="single"/>
            <w:vertAlign w:val="superscript"/>
            <w:lang w:eastAsia="ru-RU"/>
          </w:rPr>
          <w:t>26</w:t>
        </w:r>
      </w:hyperlink>
      <w:r w:rsidRPr="00351E64">
        <w:rPr>
          <w:rFonts w:ascii="Times New Roman" w:eastAsia="Times New Roman" w:hAnsi="Times New Roman" w:cs="Times New Roman"/>
          <w:sz w:val="24"/>
          <w:szCs w:val="24"/>
          <w:lang w:eastAsia="ru-RU"/>
        </w:rPr>
        <w:t xml:space="preserve">. В своей работе Э.Я. </w:t>
      </w:r>
      <w:proofErr w:type="spellStart"/>
      <w:r w:rsidRPr="00351E64">
        <w:rPr>
          <w:rFonts w:ascii="Times New Roman" w:eastAsia="Times New Roman" w:hAnsi="Times New Roman" w:cs="Times New Roman"/>
          <w:sz w:val="24"/>
          <w:szCs w:val="24"/>
          <w:lang w:eastAsia="ru-RU"/>
        </w:rPr>
        <w:t>Брегель</w:t>
      </w:r>
      <w:proofErr w:type="spellEnd"/>
      <w:r w:rsidRPr="00351E64">
        <w:rPr>
          <w:rFonts w:ascii="Times New Roman" w:eastAsia="Times New Roman" w:hAnsi="Times New Roman" w:cs="Times New Roman"/>
          <w:sz w:val="24"/>
          <w:szCs w:val="24"/>
          <w:lang w:eastAsia="ru-RU"/>
        </w:rPr>
        <w:t xml:space="preserve"> рассматривает взгляды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только на экономическую систему современного капитализма.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отличие от своих предшественников Э.Я. </w:t>
      </w:r>
      <w:proofErr w:type="spellStart"/>
      <w:r w:rsidRPr="00351E64">
        <w:rPr>
          <w:rFonts w:ascii="Times New Roman" w:eastAsia="Times New Roman" w:hAnsi="Times New Roman" w:cs="Times New Roman"/>
          <w:sz w:val="24"/>
          <w:szCs w:val="24"/>
          <w:lang w:eastAsia="ru-RU"/>
        </w:rPr>
        <w:t>Брегель</w:t>
      </w:r>
      <w:proofErr w:type="spellEnd"/>
      <w:r w:rsidRPr="00351E64">
        <w:rPr>
          <w:rFonts w:ascii="Times New Roman" w:eastAsia="Times New Roman" w:hAnsi="Times New Roman" w:cs="Times New Roman"/>
          <w:sz w:val="24"/>
          <w:szCs w:val="24"/>
          <w:lang w:eastAsia="ru-RU"/>
        </w:rPr>
        <w:t xml:space="preserve"> не только остановился на исторических условиях, в которых происходило формирование теории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но и попытался выделить этапы в эволюции </w:t>
      </w:r>
      <w:proofErr w:type="spellStart"/>
      <w:r w:rsidRPr="00351E64">
        <w:rPr>
          <w:rFonts w:ascii="Times New Roman" w:eastAsia="Times New Roman" w:hAnsi="Times New Roman" w:cs="Times New Roman"/>
          <w:sz w:val="24"/>
          <w:szCs w:val="24"/>
          <w:lang w:eastAsia="ru-RU"/>
        </w:rPr>
        <w:t>кейсианской</w:t>
      </w:r>
      <w:proofErr w:type="spellEnd"/>
      <w:r w:rsidRPr="00351E64">
        <w:rPr>
          <w:rFonts w:ascii="Times New Roman" w:eastAsia="Times New Roman" w:hAnsi="Times New Roman" w:cs="Times New Roman"/>
          <w:sz w:val="24"/>
          <w:szCs w:val="24"/>
          <w:lang w:eastAsia="ru-RU"/>
        </w:rPr>
        <w:t xml:space="preserve"> теории регулируемой экономики. Их три. На первом этапе (20-е-начало 30-х гг.) эта теория только формировалась и выступала, по мнению Э.Я. </w:t>
      </w:r>
      <w:proofErr w:type="spellStart"/>
      <w:r w:rsidRPr="00351E64">
        <w:rPr>
          <w:rFonts w:ascii="Times New Roman" w:eastAsia="Times New Roman" w:hAnsi="Times New Roman" w:cs="Times New Roman"/>
          <w:sz w:val="24"/>
          <w:szCs w:val="24"/>
          <w:lang w:eastAsia="ru-RU"/>
        </w:rPr>
        <w:t>Брегеля</w:t>
      </w:r>
      <w:proofErr w:type="spellEnd"/>
      <w:r w:rsidRPr="00351E64">
        <w:rPr>
          <w:rFonts w:ascii="Times New Roman" w:eastAsia="Times New Roman" w:hAnsi="Times New Roman" w:cs="Times New Roman"/>
          <w:sz w:val="24"/>
          <w:szCs w:val="24"/>
          <w:lang w:eastAsia="ru-RU"/>
        </w:rPr>
        <w:t xml:space="preserve">, в виде теории регулируемой валюты и регулируемого кредита. На втором этапе (вторая половина 30-х гг.) появилась знаменитая книга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"Общая теория". В центре внимания ее автора находилась проблема "полной занятости". Третий этап послевоенное время, когда последователи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развили его теорию</w:t>
      </w:r>
      <w:hyperlink r:id="rId30" w:anchor="27" w:history="1">
        <w:r w:rsidRPr="00351E64">
          <w:rPr>
            <w:rFonts w:ascii="Times New Roman" w:eastAsia="Times New Roman" w:hAnsi="Times New Roman" w:cs="Times New Roman"/>
            <w:color w:val="0000FF"/>
            <w:sz w:val="24"/>
            <w:szCs w:val="24"/>
            <w:u w:val="single"/>
            <w:vertAlign w:val="superscript"/>
            <w:lang w:eastAsia="ru-RU"/>
          </w:rPr>
          <w:t>27</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Э.Я. </w:t>
      </w:r>
      <w:proofErr w:type="spellStart"/>
      <w:r w:rsidRPr="00351E64">
        <w:rPr>
          <w:rFonts w:ascii="Times New Roman" w:eastAsia="Times New Roman" w:hAnsi="Times New Roman" w:cs="Times New Roman"/>
          <w:sz w:val="24"/>
          <w:szCs w:val="24"/>
          <w:lang w:eastAsia="ru-RU"/>
        </w:rPr>
        <w:t>Брегель</w:t>
      </w:r>
      <w:proofErr w:type="spellEnd"/>
      <w:r w:rsidRPr="00351E64">
        <w:rPr>
          <w:rFonts w:ascii="Times New Roman" w:eastAsia="Times New Roman" w:hAnsi="Times New Roman" w:cs="Times New Roman"/>
          <w:sz w:val="24"/>
          <w:szCs w:val="24"/>
          <w:lang w:eastAsia="ru-RU"/>
        </w:rPr>
        <w:t xml:space="preserve"> излагает учение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следуя логике изложения самого автора, т.е. начинает с рассмотрения теории "эффективного спроса". Советский ученый приходит к заключению, что </w:t>
      </w:r>
      <w:proofErr w:type="spellStart"/>
      <w:r w:rsidRPr="00351E64">
        <w:rPr>
          <w:rFonts w:ascii="Times New Roman" w:eastAsia="Times New Roman" w:hAnsi="Times New Roman" w:cs="Times New Roman"/>
          <w:sz w:val="24"/>
          <w:szCs w:val="24"/>
          <w:lang w:eastAsia="ru-RU"/>
        </w:rPr>
        <w:t>Кейнс</w:t>
      </w:r>
      <w:proofErr w:type="spellEnd"/>
      <w:r w:rsidRPr="00351E64">
        <w:rPr>
          <w:rFonts w:ascii="Times New Roman" w:eastAsia="Times New Roman" w:hAnsi="Times New Roman" w:cs="Times New Roman"/>
          <w:sz w:val="24"/>
          <w:szCs w:val="24"/>
          <w:lang w:eastAsia="ru-RU"/>
        </w:rPr>
        <w:t xml:space="preserve"> был родоначальником теории "дефицитного финансирования".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Оценивая значение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Э.Я. </w:t>
      </w:r>
      <w:proofErr w:type="spellStart"/>
      <w:r w:rsidRPr="00351E64">
        <w:rPr>
          <w:rFonts w:ascii="Times New Roman" w:eastAsia="Times New Roman" w:hAnsi="Times New Roman" w:cs="Times New Roman"/>
          <w:sz w:val="24"/>
          <w:szCs w:val="24"/>
          <w:lang w:eastAsia="ru-RU"/>
        </w:rPr>
        <w:t>Брегель</w:t>
      </w:r>
      <w:proofErr w:type="spellEnd"/>
      <w:r w:rsidRPr="00351E64">
        <w:rPr>
          <w:rFonts w:ascii="Times New Roman" w:eastAsia="Times New Roman" w:hAnsi="Times New Roman" w:cs="Times New Roman"/>
          <w:sz w:val="24"/>
          <w:szCs w:val="24"/>
          <w:lang w:eastAsia="ru-RU"/>
        </w:rPr>
        <w:t xml:space="preserve"> пишет: "Теория "регулируемого капитализма"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явилась новым этапом в эволюции буржуазной политической экономии", впервые была признана несостоятельность стихийного рыночного механизма, а также присущие капитализму дисгармонии и язвы - экономические кризисы и безработица</w:t>
      </w:r>
      <w:hyperlink r:id="rId31" w:anchor="28" w:history="1">
        <w:r w:rsidRPr="00351E64">
          <w:rPr>
            <w:rFonts w:ascii="Times New Roman" w:eastAsia="Times New Roman" w:hAnsi="Times New Roman" w:cs="Times New Roman"/>
            <w:color w:val="0000FF"/>
            <w:sz w:val="24"/>
            <w:szCs w:val="24"/>
            <w:u w:val="single"/>
            <w:vertAlign w:val="superscript"/>
            <w:lang w:eastAsia="ru-RU"/>
          </w:rPr>
          <w:t>28</w:t>
        </w:r>
      </w:hyperlink>
      <w:r w:rsidRPr="00351E64">
        <w:rPr>
          <w:rFonts w:ascii="Times New Roman" w:eastAsia="Times New Roman" w:hAnsi="Times New Roman" w:cs="Times New Roman"/>
          <w:sz w:val="24"/>
          <w:szCs w:val="24"/>
          <w:lang w:eastAsia="ru-RU"/>
        </w:rPr>
        <w:t xml:space="preserve">. В признании последнего Э.Я. </w:t>
      </w:r>
      <w:proofErr w:type="spellStart"/>
      <w:r w:rsidRPr="00351E64">
        <w:rPr>
          <w:rFonts w:ascii="Times New Roman" w:eastAsia="Times New Roman" w:hAnsi="Times New Roman" w:cs="Times New Roman"/>
          <w:sz w:val="24"/>
          <w:szCs w:val="24"/>
          <w:lang w:eastAsia="ru-RU"/>
        </w:rPr>
        <w:t>Брегель</w:t>
      </w:r>
      <w:proofErr w:type="spellEnd"/>
      <w:r w:rsidRPr="00351E64">
        <w:rPr>
          <w:rFonts w:ascii="Times New Roman" w:eastAsia="Times New Roman" w:hAnsi="Times New Roman" w:cs="Times New Roman"/>
          <w:sz w:val="24"/>
          <w:szCs w:val="24"/>
          <w:lang w:eastAsia="ru-RU"/>
        </w:rPr>
        <w:t xml:space="preserve">, вслед за И.Г. Блюминым, видит сильную сторону работы </w:t>
      </w:r>
      <w:proofErr w:type="spellStart"/>
      <w:r w:rsidRPr="00351E64">
        <w:rPr>
          <w:rFonts w:ascii="Times New Roman" w:eastAsia="Times New Roman" w:hAnsi="Times New Roman" w:cs="Times New Roman"/>
          <w:sz w:val="24"/>
          <w:szCs w:val="24"/>
          <w:lang w:eastAsia="ru-RU"/>
        </w:rPr>
        <w:t>Дж.М</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Однако именно несостоятельность экономической теории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по утверждению Э.Я. </w:t>
      </w:r>
      <w:proofErr w:type="spellStart"/>
      <w:r w:rsidRPr="00351E64">
        <w:rPr>
          <w:rFonts w:ascii="Times New Roman" w:eastAsia="Times New Roman" w:hAnsi="Times New Roman" w:cs="Times New Roman"/>
          <w:sz w:val="24"/>
          <w:szCs w:val="24"/>
          <w:lang w:eastAsia="ru-RU"/>
        </w:rPr>
        <w:t>Брегеля</w:t>
      </w:r>
      <w:proofErr w:type="spellEnd"/>
      <w:r w:rsidRPr="00351E64">
        <w:rPr>
          <w:rFonts w:ascii="Times New Roman" w:eastAsia="Times New Roman" w:hAnsi="Times New Roman" w:cs="Times New Roman"/>
          <w:sz w:val="24"/>
          <w:szCs w:val="24"/>
          <w:lang w:eastAsia="ru-RU"/>
        </w:rPr>
        <w:t>, предопределила и несостоятельность его экономической программы</w:t>
      </w:r>
      <w:hyperlink r:id="rId32" w:anchor="29" w:history="1">
        <w:r w:rsidRPr="00351E64">
          <w:rPr>
            <w:rFonts w:ascii="Times New Roman" w:eastAsia="Times New Roman" w:hAnsi="Times New Roman" w:cs="Times New Roman"/>
            <w:color w:val="0000FF"/>
            <w:sz w:val="24"/>
            <w:szCs w:val="24"/>
            <w:u w:val="single"/>
            <w:vertAlign w:val="superscript"/>
            <w:lang w:eastAsia="ru-RU"/>
          </w:rPr>
          <w:t>29</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Э.Я. </w:t>
      </w:r>
      <w:proofErr w:type="spellStart"/>
      <w:r w:rsidRPr="00351E64">
        <w:rPr>
          <w:rFonts w:ascii="Times New Roman" w:eastAsia="Times New Roman" w:hAnsi="Times New Roman" w:cs="Times New Roman"/>
          <w:sz w:val="24"/>
          <w:szCs w:val="24"/>
          <w:lang w:eastAsia="ru-RU"/>
        </w:rPr>
        <w:t>Брегель</w:t>
      </w:r>
      <w:proofErr w:type="spellEnd"/>
      <w:r w:rsidRPr="00351E64">
        <w:rPr>
          <w:rFonts w:ascii="Times New Roman" w:eastAsia="Times New Roman" w:hAnsi="Times New Roman" w:cs="Times New Roman"/>
          <w:sz w:val="24"/>
          <w:szCs w:val="24"/>
          <w:lang w:eastAsia="ru-RU"/>
        </w:rPr>
        <w:t xml:space="preserve"> обратил внимание на то, что </w:t>
      </w:r>
      <w:proofErr w:type="spellStart"/>
      <w:r w:rsidRPr="00351E64">
        <w:rPr>
          <w:rFonts w:ascii="Times New Roman" w:eastAsia="Times New Roman" w:hAnsi="Times New Roman" w:cs="Times New Roman"/>
          <w:sz w:val="24"/>
          <w:szCs w:val="24"/>
          <w:lang w:eastAsia="ru-RU"/>
        </w:rPr>
        <w:t>Кейнс</w:t>
      </w:r>
      <w:proofErr w:type="spellEnd"/>
      <w:r w:rsidRPr="00351E64">
        <w:rPr>
          <w:rFonts w:ascii="Times New Roman" w:eastAsia="Times New Roman" w:hAnsi="Times New Roman" w:cs="Times New Roman"/>
          <w:sz w:val="24"/>
          <w:szCs w:val="24"/>
          <w:lang w:eastAsia="ru-RU"/>
        </w:rPr>
        <w:t xml:space="preserve"> сумел уловить новую тенденцию исторического развития капитализма, а именно, перерастание монополистического капитализма в государственно-монополистический. В этом, по его мнению, причина громадной популярности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в буржуазной политической экономии</w:t>
      </w:r>
      <w:hyperlink r:id="rId33" w:anchor="30" w:history="1">
        <w:r w:rsidRPr="00351E64">
          <w:rPr>
            <w:rFonts w:ascii="Times New Roman" w:eastAsia="Times New Roman" w:hAnsi="Times New Roman" w:cs="Times New Roman"/>
            <w:color w:val="0000FF"/>
            <w:sz w:val="24"/>
            <w:szCs w:val="24"/>
            <w:u w:val="single"/>
            <w:vertAlign w:val="superscript"/>
            <w:lang w:eastAsia="ru-RU"/>
          </w:rPr>
          <w:t>30</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С предшественниками Э.Я. </w:t>
      </w:r>
      <w:proofErr w:type="spellStart"/>
      <w:r w:rsidRPr="00351E64">
        <w:rPr>
          <w:rFonts w:ascii="Times New Roman" w:eastAsia="Times New Roman" w:hAnsi="Times New Roman" w:cs="Times New Roman"/>
          <w:sz w:val="24"/>
          <w:szCs w:val="24"/>
          <w:lang w:eastAsia="ru-RU"/>
        </w:rPr>
        <w:t>Брегеля</w:t>
      </w:r>
      <w:proofErr w:type="spellEnd"/>
      <w:r w:rsidRPr="00351E64">
        <w:rPr>
          <w:rFonts w:ascii="Times New Roman" w:eastAsia="Times New Roman" w:hAnsi="Times New Roman" w:cs="Times New Roman"/>
          <w:sz w:val="24"/>
          <w:szCs w:val="24"/>
          <w:lang w:eastAsia="ru-RU"/>
        </w:rPr>
        <w:t xml:space="preserve"> сближает стремление разглядеть классовый смысл в учении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как буржуазной идеологии, защищающей государственно-монополистический капитализм и имеющей антирабочую направленность</w:t>
      </w:r>
      <w:hyperlink r:id="rId34" w:anchor="31" w:history="1">
        <w:r w:rsidRPr="00351E64">
          <w:rPr>
            <w:rFonts w:ascii="Times New Roman" w:eastAsia="Times New Roman" w:hAnsi="Times New Roman" w:cs="Times New Roman"/>
            <w:color w:val="0000FF"/>
            <w:sz w:val="24"/>
            <w:szCs w:val="24"/>
            <w:u w:val="single"/>
            <w:vertAlign w:val="superscript"/>
            <w:lang w:eastAsia="ru-RU"/>
          </w:rPr>
          <w:t>31</w:t>
        </w:r>
      </w:hyperlink>
      <w:r w:rsidRPr="00351E64">
        <w:rPr>
          <w:rFonts w:ascii="Times New Roman" w:eastAsia="Times New Roman" w:hAnsi="Times New Roman" w:cs="Times New Roman"/>
          <w:sz w:val="24"/>
          <w:szCs w:val="24"/>
          <w:lang w:eastAsia="ru-RU"/>
        </w:rPr>
        <w:t xml:space="preserve">, а также критика методологии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Последняя состояла в идеалистической точке зрения и </w:t>
      </w:r>
      <w:r w:rsidRPr="00351E64">
        <w:rPr>
          <w:rFonts w:ascii="Times New Roman" w:eastAsia="Times New Roman" w:hAnsi="Times New Roman" w:cs="Times New Roman"/>
          <w:sz w:val="24"/>
          <w:szCs w:val="24"/>
          <w:lang w:eastAsia="ru-RU"/>
        </w:rPr>
        <w:lastRenderedPageBreak/>
        <w:t xml:space="preserve">внеисторическом подходе. Однако, в отличие от И.Г. Блюмина, В.С. Володина, Э.Я. </w:t>
      </w:r>
      <w:proofErr w:type="spellStart"/>
      <w:r w:rsidRPr="00351E64">
        <w:rPr>
          <w:rFonts w:ascii="Times New Roman" w:eastAsia="Times New Roman" w:hAnsi="Times New Roman" w:cs="Times New Roman"/>
          <w:sz w:val="24"/>
          <w:szCs w:val="24"/>
          <w:lang w:eastAsia="ru-RU"/>
        </w:rPr>
        <w:t>Брегель</w:t>
      </w:r>
      <w:proofErr w:type="spellEnd"/>
      <w:r w:rsidRPr="00351E64">
        <w:rPr>
          <w:rFonts w:ascii="Times New Roman" w:eastAsia="Times New Roman" w:hAnsi="Times New Roman" w:cs="Times New Roman"/>
          <w:sz w:val="24"/>
          <w:szCs w:val="24"/>
          <w:lang w:eastAsia="ru-RU"/>
        </w:rPr>
        <w:t xml:space="preserve"> выступает против упрощения теории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и изображения его как "сознательного сторонника войн и милитаризма"</w:t>
      </w:r>
      <w:hyperlink r:id="rId35" w:anchor="32" w:history="1">
        <w:r w:rsidRPr="00351E64">
          <w:rPr>
            <w:rFonts w:ascii="Times New Roman" w:eastAsia="Times New Roman" w:hAnsi="Times New Roman" w:cs="Times New Roman"/>
            <w:color w:val="0000FF"/>
            <w:sz w:val="24"/>
            <w:szCs w:val="24"/>
            <w:u w:val="single"/>
            <w:vertAlign w:val="superscript"/>
            <w:lang w:eastAsia="ru-RU"/>
          </w:rPr>
          <w:t>32</w:t>
        </w:r>
      </w:hyperlink>
      <w:r w:rsidRPr="00351E64">
        <w:rPr>
          <w:rFonts w:ascii="Times New Roman" w:eastAsia="Times New Roman" w:hAnsi="Times New Roman" w:cs="Times New Roman"/>
          <w:sz w:val="24"/>
          <w:szCs w:val="24"/>
          <w:lang w:eastAsia="ru-RU"/>
        </w:rPr>
        <w:t xml:space="preserve">. Хотя и признает, что его теория объективно вела к оправданию военных расходов. Новым этапом в освещении учения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в России стали работы В.С. Афанасьева и И.М. Осадчей.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своей монографии, посвященной характеристике буржуазной экономической мысли 30-80-х гг. XX в., В.С. Афанасьев уделяет большое внимание "теории занятости" </w:t>
      </w:r>
      <w:proofErr w:type="spellStart"/>
      <w:r w:rsidRPr="00351E64">
        <w:rPr>
          <w:rFonts w:ascii="Times New Roman" w:eastAsia="Times New Roman" w:hAnsi="Times New Roman" w:cs="Times New Roman"/>
          <w:sz w:val="24"/>
          <w:szCs w:val="24"/>
          <w:lang w:eastAsia="ru-RU"/>
        </w:rPr>
        <w:t>Дж.М</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как первой форме буржуазного макроанализа"</w:t>
      </w:r>
      <w:hyperlink r:id="rId36" w:anchor="33" w:history="1">
        <w:r w:rsidRPr="00351E64">
          <w:rPr>
            <w:rFonts w:ascii="Times New Roman" w:eastAsia="Times New Roman" w:hAnsi="Times New Roman" w:cs="Times New Roman"/>
            <w:color w:val="0000FF"/>
            <w:sz w:val="24"/>
            <w:szCs w:val="24"/>
            <w:u w:val="single"/>
            <w:vertAlign w:val="superscript"/>
            <w:lang w:eastAsia="ru-RU"/>
          </w:rPr>
          <w:t>33</w:t>
        </w:r>
      </w:hyperlink>
      <w:r w:rsidRPr="00351E64">
        <w:rPr>
          <w:rFonts w:ascii="Times New Roman" w:eastAsia="Times New Roman" w:hAnsi="Times New Roman" w:cs="Times New Roman"/>
          <w:sz w:val="24"/>
          <w:szCs w:val="24"/>
          <w:lang w:eastAsia="ru-RU"/>
        </w:rPr>
        <w:t xml:space="preserve">. Он признает, что </w:t>
      </w:r>
      <w:proofErr w:type="spellStart"/>
      <w:r w:rsidRPr="00351E64">
        <w:rPr>
          <w:rFonts w:ascii="Times New Roman" w:eastAsia="Times New Roman" w:hAnsi="Times New Roman" w:cs="Times New Roman"/>
          <w:sz w:val="24"/>
          <w:szCs w:val="24"/>
          <w:lang w:eastAsia="ru-RU"/>
        </w:rPr>
        <w:t>Кейнс</w:t>
      </w:r>
      <w:proofErr w:type="spellEnd"/>
      <w:r w:rsidRPr="00351E64">
        <w:rPr>
          <w:rFonts w:ascii="Times New Roman" w:eastAsia="Times New Roman" w:hAnsi="Times New Roman" w:cs="Times New Roman"/>
          <w:sz w:val="24"/>
          <w:szCs w:val="24"/>
          <w:lang w:eastAsia="ru-RU"/>
        </w:rPr>
        <w:t xml:space="preserve"> явился основоположником макроэкономического анализа. Вслед за Э.Я. </w:t>
      </w:r>
      <w:proofErr w:type="spellStart"/>
      <w:r w:rsidRPr="00351E64">
        <w:rPr>
          <w:rFonts w:ascii="Times New Roman" w:eastAsia="Times New Roman" w:hAnsi="Times New Roman" w:cs="Times New Roman"/>
          <w:sz w:val="24"/>
          <w:szCs w:val="24"/>
          <w:lang w:eastAsia="ru-RU"/>
        </w:rPr>
        <w:t>Брегелем</w:t>
      </w:r>
      <w:proofErr w:type="spellEnd"/>
      <w:r w:rsidRPr="00351E64">
        <w:rPr>
          <w:rFonts w:ascii="Times New Roman" w:eastAsia="Times New Roman" w:hAnsi="Times New Roman" w:cs="Times New Roman"/>
          <w:sz w:val="24"/>
          <w:szCs w:val="24"/>
          <w:lang w:eastAsia="ru-RU"/>
        </w:rPr>
        <w:t xml:space="preserve">, В.С. Афанасьев считает, что значение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в том, что английский экономист первым в экономической литературе поставил вопрос о необходимости перехода к государственно-монополистическому капитализму и разработал ряд принципов для регулирования капиталистической экономики</w:t>
      </w:r>
      <w:hyperlink r:id="rId37" w:anchor="34" w:history="1">
        <w:r w:rsidRPr="00351E64">
          <w:rPr>
            <w:rFonts w:ascii="Times New Roman" w:eastAsia="Times New Roman" w:hAnsi="Times New Roman" w:cs="Times New Roman"/>
            <w:color w:val="0000FF"/>
            <w:sz w:val="24"/>
            <w:szCs w:val="24"/>
            <w:u w:val="single"/>
            <w:vertAlign w:val="superscript"/>
            <w:lang w:eastAsia="ru-RU"/>
          </w:rPr>
          <w:t>34</w:t>
        </w:r>
      </w:hyperlink>
      <w:r w:rsidRPr="00351E64">
        <w:rPr>
          <w:rFonts w:ascii="Times New Roman" w:eastAsia="Times New Roman" w:hAnsi="Times New Roman" w:cs="Times New Roman"/>
          <w:sz w:val="24"/>
          <w:szCs w:val="24"/>
          <w:lang w:eastAsia="ru-RU"/>
        </w:rPr>
        <w:t xml:space="preserve">. Он считал, что </w:t>
      </w:r>
      <w:proofErr w:type="spellStart"/>
      <w:r w:rsidRPr="00351E64">
        <w:rPr>
          <w:rFonts w:ascii="Times New Roman" w:eastAsia="Times New Roman" w:hAnsi="Times New Roman" w:cs="Times New Roman"/>
          <w:sz w:val="24"/>
          <w:szCs w:val="24"/>
          <w:lang w:eastAsia="ru-RU"/>
        </w:rPr>
        <w:t>кейсианство</w:t>
      </w:r>
      <w:proofErr w:type="spellEnd"/>
      <w:r w:rsidRPr="00351E64">
        <w:rPr>
          <w:rFonts w:ascii="Times New Roman" w:eastAsia="Times New Roman" w:hAnsi="Times New Roman" w:cs="Times New Roman"/>
          <w:sz w:val="24"/>
          <w:szCs w:val="24"/>
          <w:lang w:eastAsia="ru-RU"/>
        </w:rPr>
        <w:t xml:space="preserve"> не выдержало проверку временем и в 60 - 70-ее гг. переживало кризис. Об этом же пишет в своих работах И.М. Осадчая. Афанасьев В.С., опираясь на исследования зарубежных авторов (</w:t>
      </w:r>
      <w:proofErr w:type="spellStart"/>
      <w:r w:rsidRPr="00351E64">
        <w:rPr>
          <w:rFonts w:ascii="Times New Roman" w:eastAsia="Times New Roman" w:hAnsi="Times New Roman" w:cs="Times New Roman"/>
          <w:sz w:val="24"/>
          <w:szCs w:val="24"/>
          <w:lang w:eastAsia="ru-RU"/>
        </w:rPr>
        <w:t>Р.Гаррода</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Р.Скидельски</w:t>
      </w:r>
      <w:proofErr w:type="spellEnd"/>
      <w:r w:rsidRPr="00351E64">
        <w:rPr>
          <w:rFonts w:ascii="Times New Roman" w:eastAsia="Times New Roman" w:hAnsi="Times New Roman" w:cs="Times New Roman"/>
          <w:sz w:val="24"/>
          <w:szCs w:val="24"/>
          <w:lang w:eastAsia="ru-RU"/>
        </w:rPr>
        <w:t xml:space="preserve">), излагает в своей работе биографию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Он делает следующее заключение: "Свои усилия в области экономической теории </w:t>
      </w:r>
      <w:proofErr w:type="spellStart"/>
      <w:r w:rsidRPr="00351E64">
        <w:rPr>
          <w:rFonts w:ascii="Times New Roman" w:eastAsia="Times New Roman" w:hAnsi="Times New Roman" w:cs="Times New Roman"/>
          <w:sz w:val="24"/>
          <w:szCs w:val="24"/>
          <w:lang w:eastAsia="ru-RU"/>
        </w:rPr>
        <w:t>Дж.М</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w:t>
      </w:r>
      <w:proofErr w:type="spellEnd"/>
      <w:r w:rsidRPr="00351E64">
        <w:rPr>
          <w:rFonts w:ascii="Times New Roman" w:eastAsia="Times New Roman" w:hAnsi="Times New Roman" w:cs="Times New Roman"/>
          <w:sz w:val="24"/>
          <w:szCs w:val="24"/>
          <w:lang w:eastAsia="ru-RU"/>
        </w:rPr>
        <w:t xml:space="preserve"> подчинял задачам экономической политики буржуазного государства"</w:t>
      </w:r>
      <w:hyperlink r:id="rId38" w:anchor="35" w:history="1">
        <w:r w:rsidRPr="00351E64">
          <w:rPr>
            <w:rFonts w:ascii="Times New Roman" w:eastAsia="Times New Roman" w:hAnsi="Times New Roman" w:cs="Times New Roman"/>
            <w:color w:val="0000FF"/>
            <w:sz w:val="24"/>
            <w:szCs w:val="24"/>
            <w:u w:val="single"/>
            <w:vertAlign w:val="superscript"/>
            <w:lang w:eastAsia="ru-RU"/>
          </w:rPr>
          <w:t>35</w:t>
        </w:r>
      </w:hyperlink>
      <w:r w:rsidRPr="00351E64">
        <w:rPr>
          <w:rFonts w:ascii="Times New Roman" w:eastAsia="Times New Roman" w:hAnsi="Times New Roman" w:cs="Times New Roman"/>
          <w:sz w:val="24"/>
          <w:szCs w:val="24"/>
          <w:lang w:eastAsia="ru-RU"/>
        </w:rPr>
        <w:t xml:space="preserve">. На тесную связь практической деятельности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и его теоретических работ обращает внимание и И.М. Осадчая. Анализируя </w:t>
      </w:r>
      <w:proofErr w:type="spellStart"/>
      <w:r w:rsidRPr="00351E64">
        <w:rPr>
          <w:rFonts w:ascii="Times New Roman" w:eastAsia="Times New Roman" w:hAnsi="Times New Roman" w:cs="Times New Roman"/>
          <w:sz w:val="24"/>
          <w:szCs w:val="24"/>
          <w:lang w:eastAsia="ru-RU"/>
        </w:rPr>
        <w:t>кейсианскую</w:t>
      </w:r>
      <w:proofErr w:type="spellEnd"/>
      <w:r w:rsidRPr="00351E64">
        <w:rPr>
          <w:rFonts w:ascii="Times New Roman" w:eastAsia="Times New Roman" w:hAnsi="Times New Roman" w:cs="Times New Roman"/>
          <w:sz w:val="24"/>
          <w:szCs w:val="24"/>
          <w:lang w:eastAsia="ru-RU"/>
        </w:rPr>
        <w:t xml:space="preserve"> теории воспроизводства, В.С. Астафьев пришел к выводу о том, что "государственно-монополистическое регулирование экономики крайне противоречиво, будучи средством временного и ограниченного ослабления противоречий капиталистической системы, оно вместе с тем выступает как важнейшая основа движения и обострения внутренних антагонизмов этого строя, вызревания объективных и субъективных предпосылок социализма</w:t>
      </w:r>
      <w:proofErr w:type="gramStart"/>
      <w:r w:rsidRPr="00351E64">
        <w:rPr>
          <w:rFonts w:ascii="Times New Roman" w:eastAsia="Times New Roman" w:hAnsi="Times New Roman" w:cs="Times New Roman"/>
          <w:sz w:val="24"/>
          <w:szCs w:val="24"/>
          <w:lang w:eastAsia="ru-RU"/>
        </w:rPr>
        <w:t>" .</w:t>
      </w:r>
      <w:proofErr w:type="gramEnd"/>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Для российских ученых, таких как И.Г. Блюмин, В.С. Володин, Л.Б. Альтер, была характерна трактовка </w:t>
      </w:r>
      <w:proofErr w:type="spellStart"/>
      <w:r w:rsidRPr="00351E64">
        <w:rPr>
          <w:rFonts w:ascii="Times New Roman" w:eastAsia="Times New Roman" w:hAnsi="Times New Roman" w:cs="Times New Roman"/>
          <w:sz w:val="24"/>
          <w:szCs w:val="24"/>
          <w:lang w:eastAsia="ru-RU"/>
        </w:rPr>
        <w:t>кейсианской</w:t>
      </w:r>
      <w:proofErr w:type="spellEnd"/>
      <w:r w:rsidRPr="00351E64">
        <w:rPr>
          <w:rFonts w:ascii="Times New Roman" w:eastAsia="Times New Roman" w:hAnsi="Times New Roman" w:cs="Times New Roman"/>
          <w:sz w:val="24"/>
          <w:szCs w:val="24"/>
          <w:lang w:eastAsia="ru-RU"/>
        </w:rPr>
        <w:t xml:space="preserve"> теории как теории занятости рабочей силы, которая направлена на выяснение причин безработицы и их устранение. </w:t>
      </w:r>
      <w:proofErr w:type="spellStart"/>
      <w:r w:rsidRPr="00351E64">
        <w:rPr>
          <w:rFonts w:ascii="Times New Roman" w:eastAsia="Times New Roman" w:hAnsi="Times New Roman" w:cs="Times New Roman"/>
          <w:sz w:val="24"/>
          <w:szCs w:val="24"/>
          <w:lang w:eastAsia="ru-RU"/>
        </w:rPr>
        <w:t>В.С.Афанасьев</w:t>
      </w:r>
      <w:proofErr w:type="spellEnd"/>
      <w:r w:rsidRPr="00351E64">
        <w:rPr>
          <w:rFonts w:ascii="Times New Roman" w:eastAsia="Times New Roman" w:hAnsi="Times New Roman" w:cs="Times New Roman"/>
          <w:sz w:val="24"/>
          <w:szCs w:val="24"/>
          <w:lang w:eastAsia="ru-RU"/>
        </w:rPr>
        <w:t xml:space="preserve">, вслед за американским экономистом </w:t>
      </w:r>
      <w:proofErr w:type="spellStart"/>
      <w:r w:rsidRPr="00351E64">
        <w:rPr>
          <w:rFonts w:ascii="Times New Roman" w:eastAsia="Times New Roman" w:hAnsi="Times New Roman" w:cs="Times New Roman"/>
          <w:sz w:val="24"/>
          <w:szCs w:val="24"/>
          <w:lang w:eastAsia="ru-RU"/>
        </w:rPr>
        <w:t>Л.Клейном</w:t>
      </w:r>
      <w:proofErr w:type="spellEnd"/>
      <w:r w:rsidRPr="00351E64">
        <w:rPr>
          <w:rFonts w:ascii="Times New Roman" w:eastAsia="Times New Roman" w:hAnsi="Times New Roman" w:cs="Times New Roman"/>
          <w:sz w:val="24"/>
          <w:szCs w:val="24"/>
          <w:lang w:eastAsia="ru-RU"/>
        </w:rPr>
        <w:t xml:space="preserve">, в 1955 г. в своей кандидатской диссертации пришел к заключению о том, что центральным пунктом </w:t>
      </w:r>
      <w:proofErr w:type="spellStart"/>
      <w:r w:rsidRPr="00351E64">
        <w:rPr>
          <w:rFonts w:ascii="Times New Roman" w:eastAsia="Times New Roman" w:hAnsi="Times New Roman" w:cs="Times New Roman"/>
          <w:sz w:val="24"/>
          <w:szCs w:val="24"/>
          <w:lang w:eastAsia="ru-RU"/>
        </w:rPr>
        <w:t>кейсианской</w:t>
      </w:r>
      <w:proofErr w:type="spellEnd"/>
      <w:r w:rsidRPr="00351E64">
        <w:rPr>
          <w:rFonts w:ascii="Times New Roman" w:eastAsia="Times New Roman" w:hAnsi="Times New Roman" w:cs="Times New Roman"/>
          <w:sz w:val="24"/>
          <w:szCs w:val="24"/>
          <w:lang w:eastAsia="ru-RU"/>
        </w:rPr>
        <w:t xml:space="preserve"> системы является концепция "эффективного спроса". В широкой печати впервые такая постановка вопроса имела место в статье И.М. Осадчей в начале 60-х гг</w:t>
      </w:r>
      <w:hyperlink r:id="rId39" w:anchor="37" w:history="1">
        <w:r w:rsidRPr="00351E64">
          <w:rPr>
            <w:rFonts w:ascii="Times New Roman" w:eastAsia="Times New Roman" w:hAnsi="Times New Roman" w:cs="Times New Roman"/>
            <w:color w:val="0000FF"/>
            <w:sz w:val="24"/>
            <w:szCs w:val="24"/>
            <w:u w:val="single"/>
            <w:vertAlign w:val="superscript"/>
            <w:lang w:eastAsia="ru-RU"/>
          </w:rPr>
          <w:t>37</w:t>
        </w:r>
      </w:hyperlink>
      <w:r w:rsidRPr="00351E64">
        <w:rPr>
          <w:rFonts w:ascii="Times New Roman" w:eastAsia="Times New Roman" w:hAnsi="Times New Roman" w:cs="Times New Roman"/>
          <w:sz w:val="24"/>
          <w:szCs w:val="24"/>
          <w:lang w:eastAsia="ru-RU"/>
        </w:rPr>
        <w:t xml:space="preserve">. Кроме того, это положение нашло отражение в работе Э.Я. </w:t>
      </w:r>
      <w:proofErr w:type="spellStart"/>
      <w:r w:rsidRPr="00351E64">
        <w:rPr>
          <w:rFonts w:ascii="Times New Roman" w:eastAsia="Times New Roman" w:hAnsi="Times New Roman" w:cs="Times New Roman"/>
          <w:sz w:val="24"/>
          <w:szCs w:val="24"/>
          <w:lang w:eastAsia="ru-RU"/>
        </w:rPr>
        <w:t>Брегеля</w:t>
      </w:r>
      <w:proofErr w:type="spellEnd"/>
      <w:r w:rsidRPr="00351E64">
        <w:rPr>
          <w:rFonts w:ascii="Times New Roman" w:eastAsia="Times New Roman" w:hAnsi="Times New Roman" w:cs="Times New Roman"/>
          <w:sz w:val="24"/>
          <w:szCs w:val="24"/>
          <w:lang w:eastAsia="ru-RU"/>
        </w:rPr>
        <w:t xml:space="preserve"> в 1972 г. В.С. Афанасьев считает, что "концепция "полной занятости" не составляет существа </w:t>
      </w:r>
      <w:proofErr w:type="spellStart"/>
      <w:r w:rsidRPr="00351E64">
        <w:rPr>
          <w:rFonts w:ascii="Times New Roman" w:eastAsia="Times New Roman" w:hAnsi="Times New Roman" w:cs="Times New Roman"/>
          <w:sz w:val="24"/>
          <w:szCs w:val="24"/>
          <w:lang w:eastAsia="ru-RU"/>
        </w:rPr>
        <w:t>кейсианской</w:t>
      </w:r>
      <w:proofErr w:type="spellEnd"/>
      <w:r w:rsidRPr="00351E64">
        <w:rPr>
          <w:rFonts w:ascii="Times New Roman" w:eastAsia="Times New Roman" w:hAnsi="Times New Roman" w:cs="Times New Roman"/>
          <w:sz w:val="24"/>
          <w:szCs w:val="24"/>
          <w:lang w:eastAsia="ru-RU"/>
        </w:rPr>
        <w:t xml:space="preserve"> теоретической системы и программы экономической политики"</w:t>
      </w:r>
      <w:hyperlink r:id="rId40" w:anchor="38" w:history="1">
        <w:r w:rsidRPr="00351E64">
          <w:rPr>
            <w:rFonts w:ascii="Times New Roman" w:eastAsia="Times New Roman" w:hAnsi="Times New Roman" w:cs="Times New Roman"/>
            <w:color w:val="0000FF"/>
            <w:sz w:val="24"/>
            <w:szCs w:val="24"/>
            <w:u w:val="single"/>
            <w:vertAlign w:val="superscript"/>
            <w:lang w:eastAsia="ru-RU"/>
          </w:rPr>
          <w:t>38</w:t>
        </w:r>
      </w:hyperlink>
      <w:r w:rsidRPr="00351E64">
        <w:rPr>
          <w:rFonts w:ascii="Times New Roman" w:eastAsia="Times New Roman" w:hAnsi="Times New Roman" w:cs="Times New Roman"/>
          <w:sz w:val="24"/>
          <w:szCs w:val="24"/>
          <w:lang w:eastAsia="ru-RU"/>
        </w:rPr>
        <w:t>. Она представляет собой только внешнюю форму общей теории государственно-монополистического регулирования капиталистической экономики, в которой нашли свое отражение конкретно-исторические условия экономического кризиса 30-х гг.</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итоге В.С. Афанасьев пришел к выводу о том, что </w:t>
      </w:r>
      <w:proofErr w:type="spellStart"/>
      <w:r w:rsidRPr="00351E64">
        <w:rPr>
          <w:rFonts w:ascii="Times New Roman" w:eastAsia="Times New Roman" w:hAnsi="Times New Roman" w:cs="Times New Roman"/>
          <w:sz w:val="24"/>
          <w:szCs w:val="24"/>
          <w:lang w:eastAsia="ru-RU"/>
        </w:rPr>
        <w:t>Дж.М</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w:t>
      </w:r>
      <w:proofErr w:type="spellEnd"/>
      <w:r w:rsidRPr="00351E64">
        <w:rPr>
          <w:rFonts w:ascii="Times New Roman" w:eastAsia="Times New Roman" w:hAnsi="Times New Roman" w:cs="Times New Roman"/>
          <w:sz w:val="24"/>
          <w:szCs w:val="24"/>
          <w:lang w:eastAsia="ru-RU"/>
        </w:rPr>
        <w:t xml:space="preserve"> не совершил революции в буржуазной политической экономии и не разработал ни одной новой политэкономической категории, ни теории действительно полной занятости населения</w:t>
      </w:r>
      <w:hyperlink r:id="rId41" w:anchor="39" w:history="1">
        <w:r w:rsidRPr="00351E64">
          <w:rPr>
            <w:rFonts w:ascii="Times New Roman" w:eastAsia="Times New Roman" w:hAnsi="Times New Roman" w:cs="Times New Roman"/>
            <w:color w:val="0000FF"/>
            <w:sz w:val="24"/>
            <w:szCs w:val="24"/>
            <w:u w:val="single"/>
            <w:vertAlign w:val="superscript"/>
            <w:lang w:eastAsia="ru-RU"/>
          </w:rPr>
          <w:t>39</w:t>
        </w:r>
      </w:hyperlink>
      <w:r w:rsidRPr="00351E64">
        <w:rPr>
          <w:rFonts w:ascii="Times New Roman" w:eastAsia="Times New Roman" w:hAnsi="Times New Roman" w:cs="Times New Roman"/>
          <w:sz w:val="24"/>
          <w:szCs w:val="24"/>
          <w:lang w:eastAsia="ru-RU"/>
        </w:rPr>
        <w:t xml:space="preserve">. В 70 - 90-е гг. XX в. появились работы И.М. Осадчей, посвященные анализу экономического учения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и его последователей. Обратимся к трем из них. Одна была опубликована в 1983 г. в журнале </w:t>
      </w:r>
      <w:r w:rsidRPr="00351E64">
        <w:rPr>
          <w:rFonts w:ascii="Times New Roman" w:eastAsia="Times New Roman" w:hAnsi="Times New Roman" w:cs="Times New Roman"/>
          <w:sz w:val="24"/>
          <w:szCs w:val="24"/>
          <w:lang w:eastAsia="ru-RU"/>
        </w:rPr>
        <w:lastRenderedPageBreak/>
        <w:t>"Мировая экономика и международные отношения" и называлась "</w:t>
      </w:r>
      <w:proofErr w:type="spellStart"/>
      <w:r w:rsidRPr="00351E64">
        <w:rPr>
          <w:rFonts w:ascii="Times New Roman" w:eastAsia="Times New Roman" w:hAnsi="Times New Roman" w:cs="Times New Roman"/>
          <w:sz w:val="24"/>
          <w:szCs w:val="24"/>
          <w:lang w:eastAsia="ru-RU"/>
        </w:rPr>
        <w:t>Кейсианство</w:t>
      </w:r>
      <w:proofErr w:type="spellEnd"/>
      <w:r w:rsidRPr="00351E64">
        <w:rPr>
          <w:rFonts w:ascii="Times New Roman" w:eastAsia="Times New Roman" w:hAnsi="Times New Roman" w:cs="Times New Roman"/>
          <w:sz w:val="24"/>
          <w:szCs w:val="24"/>
          <w:lang w:eastAsia="ru-RU"/>
        </w:rPr>
        <w:t xml:space="preserve"> - прошлое, настоящее будущее". Другая представляет собой одну главу в четвертом томе "Всемирной истории экономической мысли" под названием "Экономическое учение </w:t>
      </w:r>
      <w:proofErr w:type="spellStart"/>
      <w:r w:rsidRPr="00351E64">
        <w:rPr>
          <w:rFonts w:ascii="Times New Roman" w:eastAsia="Times New Roman" w:hAnsi="Times New Roman" w:cs="Times New Roman"/>
          <w:sz w:val="24"/>
          <w:szCs w:val="24"/>
          <w:lang w:eastAsia="ru-RU"/>
        </w:rPr>
        <w:t>Дж.М</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(1990). Третья работа - "Великий реформатор экономики капитализма" - была опубликована в журнале "Наука и жизнь" в 1997 г. В них она дает характеристику </w:t>
      </w:r>
      <w:proofErr w:type="spellStart"/>
      <w:r w:rsidRPr="00351E64">
        <w:rPr>
          <w:rFonts w:ascii="Times New Roman" w:eastAsia="Times New Roman" w:hAnsi="Times New Roman" w:cs="Times New Roman"/>
          <w:sz w:val="24"/>
          <w:szCs w:val="24"/>
          <w:lang w:eastAsia="ru-RU"/>
        </w:rPr>
        <w:t>Дж.М</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Кейнсу</w:t>
      </w:r>
      <w:proofErr w:type="spellEnd"/>
      <w:r w:rsidRPr="00351E64">
        <w:rPr>
          <w:rFonts w:ascii="Times New Roman" w:eastAsia="Times New Roman" w:hAnsi="Times New Roman" w:cs="Times New Roman"/>
          <w:sz w:val="24"/>
          <w:szCs w:val="24"/>
          <w:lang w:eastAsia="ru-RU"/>
        </w:rPr>
        <w:t xml:space="preserve"> как крупному экономисту и политику, рассматривает теоретическую систему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показывает причины и следствия кризиса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развитие идей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его последователями (попытка формально объединить </w:t>
      </w:r>
      <w:proofErr w:type="spellStart"/>
      <w:r w:rsidRPr="00351E64">
        <w:rPr>
          <w:rFonts w:ascii="Times New Roman" w:eastAsia="Times New Roman" w:hAnsi="Times New Roman" w:cs="Times New Roman"/>
          <w:sz w:val="24"/>
          <w:szCs w:val="24"/>
          <w:lang w:eastAsia="ru-RU"/>
        </w:rPr>
        <w:t>кейсианство</w:t>
      </w:r>
      <w:proofErr w:type="spellEnd"/>
      <w:r w:rsidRPr="00351E64">
        <w:rPr>
          <w:rFonts w:ascii="Times New Roman" w:eastAsia="Times New Roman" w:hAnsi="Times New Roman" w:cs="Times New Roman"/>
          <w:sz w:val="24"/>
          <w:szCs w:val="24"/>
          <w:lang w:eastAsia="ru-RU"/>
        </w:rPr>
        <w:t xml:space="preserve"> с неоклассической теорией в 60 - 70-е гг., возникновение "</w:t>
      </w:r>
      <w:proofErr w:type="spellStart"/>
      <w:r w:rsidRPr="00351E64">
        <w:rPr>
          <w:rFonts w:ascii="Times New Roman" w:eastAsia="Times New Roman" w:hAnsi="Times New Roman" w:cs="Times New Roman"/>
          <w:sz w:val="24"/>
          <w:szCs w:val="24"/>
          <w:lang w:eastAsia="ru-RU"/>
        </w:rPr>
        <w:t>посткейсианства</w:t>
      </w:r>
      <w:proofErr w:type="spellEnd"/>
      <w:r w:rsidRPr="00351E64">
        <w:rPr>
          <w:rFonts w:ascii="Times New Roman" w:eastAsia="Times New Roman" w:hAnsi="Times New Roman" w:cs="Times New Roman"/>
          <w:sz w:val="24"/>
          <w:szCs w:val="24"/>
          <w:lang w:eastAsia="ru-RU"/>
        </w:rPr>
        <w:t xml:space="preserve">"), а также значение этого учения. Поскольку работы этой исследовательницы написаны в разное время, возможно проследить эволюцию ее взглядов на значение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Воспользуемся методикой параллельного анализа.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71"/>
        <w:gridCol w:w="1734"/>
        <w:gridCol w:w="4334"/>
      </w:tblGrid>
      <w:tr w:rsidR="00351E64" w:rsidRPr="00351E64" w:rsidTr="00351E64">
        <w:trPr>
          <w:tblCellSpacing w:w="0" w:type="dxa"/>
        </w:trPr>
        <w:tc>
          <w:tcPr>
            <w:tcW w:w="3945" w:type="dxa"/>
            <w:tcBorders>
              <w:top w:val="outset" w:sz="6" w:space="0" w:color="auto"/>
              <w:left w:val="outset" w:sz="6" w:space="0" w:color="auto"/>
              <w:bottom w:val="outset" w:sz="6" w:space="0" w:color="auto"/>
              <w:right w:val="outset" w:sz="6" w:space="0" w:color="auto"/>
            </w:tcBorders>
            <w:vAlign w:val="center"/>
            <w:hideMark/>
          </w:tcPr>
          <w:p w:rsidR="00351E64" w:rsidRPr="00351E64" w:rsidRDefault="00351E64" w:rsidP="00351E64">
            <w:pPr>
              <w:spacing w:after="0"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1983 г.</w:t>
            </w:r>
          </w:p>
        </w:tc>
        <w:tc>
          <w:tcPr>
            <w:tcW w:w="1530" w:type="dxa"/>
            <w:tcBorders>
              <w:top w:val="outset" w:sz="6" w:space="0" w:color="auto"/>
              <w:left w:val="outset" w:sz="6" w:space="0" w:color="auto"/>
              <w:bottom w:val="outset" w:sz="6" w:space="0" w:color="auto"/>
              <w:right w:val="outset" w:sz="6" w:space="0" w:color="auto"/>
            </w:tcBorders>
            <w:vAlign w:val="center"/>
            <w:hideMark/>
          </w:tcPr>
          <w:p w:rsidR="00351E64" w:rsidRPr="00351E64" w:rsidRDefault="00351E64" w:rsidP="00351E64">
            <w:pPr>
              <w:spacing w:after="0"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1990 г.</w:t>
            </w:r>
          </w:p>
        </w:tc>
        <w:tc>
          <w:tcPr>
            <w:tcW w:w="5655" w:type="dxa"/>
            <w:tcBorders>
              <w:top w:val="outset" w:sz="6" w:space="0" w:color="auto"/>
              <w:left w:val="outset" w:sz="6" w:space="0" w:color="auto"/>
              <w:bottom w:val="outset" w:sz="6" w:space="0" w:color="auto"/>
              <w:right w:val="outset" w:sz="6" w:space="0" w:color="auto"/>
            </w:tcBorders>
            <w:vAlign w:val="center"/>
            <w:hideMark/>
          </w:tcPr>
          <w:p w:rsidR="00351E64" w:rsidRPr="00351E64" w:rsidRDefault="00351E64" w:rsidP="00351E64">
            <w:pPr>
              <w:spacing w:after="0"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1997 г.</w:t>
            </w:r>
          </w:p>
        </w:tc>
      </w:tr>
      <w:tr w:rsidR="00351E64" w:rsidRPr="00351E64" w:rsidTr="00351E64">
        <w:trPr>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351E64" w:rsidRPr="00351E64" w:rsidRDefault="00351E64" w:rsidP="00351E64">
            <w:pPr>
              <w:spacing w:after="0"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«История подтвердила великую жизненную силу марксизма – учения, которое позволяет объяснить закономерности развития современного государственно-</w:t>
            </w:r>
            <w:proofErr w:type="spellStart"/>
            <w:r w:rsidRPr="00351E64">
              <w:rPr>
                <w:rFonts w:ascii="Times New Roman" w:eastAsia="Times New Roman" w:hAnsi="Times New Roman" w:cs="Times New Roman"/>
                <w:sz w:val="24"/>
                <w:szCs w:val="24"/>
                <w:lang w:eastAsia="ru-RU"/>
              </w:rPr>
              <w:t>монополитического</w:t>
            </w:r>
            <w:proofErr w:type="spellEnd"/>
            <w:r w:rsidRPr="00351E64">
              <w:rPr>
                <w:rFonts w:ascii="Times New Roman" w:eastAsia="Times New Roman" w:hAnsi="Times New Roman" w:cs="Times New Roman"/>
                <w:sz w:val="24"/>
                <w:szCs w:val="24"/>
                <w:lang w:eastAsia="ru-RU"/>
              </w:rPr>
              <w:t xml:space="preserve"> капитализма» (с. 93).</w:t>
            </w:r>
          </w:p>
        </w:tc>
        <w:tc>
          <w:tcPr>
            <w:tcW w:w="1530"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351E64" w:rsidRPr="00351E64" w:rsidRDefault="00351E64" w:rsidP="00351E64">
            <w:pPr>
              <w:spacing w:after="0" w:line="240" w:lineRule="auto"/>
              <w:jc w:val="both"/>
              <w:rPr>
                <w:rFonts w:ascii="Times New Roman" w:eastAsia="Times New Roman" w:hAnsi="Times New Roman" w:cs="Times New Roman"/>
                <w:sz w:val="24"/>
                <w:szCs w:val="24"/>
                <w:lang w:eastAsia="ru-RU"/>
              </w:rPr>
            </w:pPr>
          </w:p>
        </w:tc>
        <w:tc>
          <w:tcPr>
            <w:tcW w:w="5655" w:type="dxa"/>
            <w:tcBorders>
              <w:top w:val="outset" w:sz="6" w:space="0" w:color="auto"/>
              <w:left w:val="outset" w:sz="6" w:space="0" w:color="auto"/>
              <w:bottom w:val="outset" w:sz="6" w:space="0" w:color="auto"/>
              <w:right w:val="outset" w:sz="6" w:space="0" w:color="auto"/>
            </w:tcBorders>
            <w:shd w:val="clear" w:color="auto" w:fill="FFCCCC"/>
            <w:vAlign w:val="center"/>
            <w:hideMark/>
          </w:tcPr>
          <w:p w:rsidR="00351E64" w:rsidRPr="00351E64" w:rsidRDefault="00351E64" w:rsidP="00351E64">
            <w:pPr>
              <w:spacing w:after="0"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«Маркс оказался плохим пророком: капитализм не погиб, запутавшись в собственных противоречиях», «если развитие капитализма пошло иными путями, то этим оно в немалой степени обязано </w:t>
            </w:r>
            <w:proofErr w:type="spellStart"/>
            <w:r w:rsidRPr="00351E64">
              <w:rPr>
                <w:rFonts w:ascii="Times New Roman" w:eastAsia="Times New Roman" w:hAnsi="Times New Roman" w:cs="Times New Roman"/>
                <w:sz w:val="24"/>
                <w:szCs w:val="24"/>
                <w:lang w:eastAsia="ru-RU"/>
              </w:rPr>
              <w:t>Кейнсу</w:t>
            </w:r>
            <w:proofErr w:type="spellEnd"/>
            <w:r w:rsidRPr="00351E64">
              <w:rPr>
                <w:rFonts w:ascii="Times New Roman" w:eastAsia="Times New Roman" w:hAnsi="Times New Roman" w:cs="Times New Roman"/>
                <w:sz w:val="24"/>
                <w:szCs w:val="24"/>
                <w:lang w:eastAsia="ru-RU"/>
              </w:rPr>
              <w:t>» (№11, с. 18).</w:t>
            </w:r>
          </w:p>
        </w:tc>
      </w:tr>
      <w:tr w:rsidR="00351E64" w:rsidRPr="00351E64" w:rsidTr="00351E64">
        <w:trPr>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351E64" w:rsidRPr="00351E64" w:rsidRDefault="00351E64" w:rsidP="00351E64">
            <w:pPr>
              <w:spacing w:after="0"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Теория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«переживает глубокий кризис» (с. 93). Однако, «реформистские круги в капиталистических странах… выступают за ее новое прочтение, новые формы ее синтеза с другими направлениями буржуазной политэкономии» (с. 94).</w:t>
            </w:r>
          </w:p>
        </w:tc>
        <w:tc>
          <w:tcPr>
            <w:tcW w:w="153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351E64" w:rsidRPr="00351E64" w:rsidRDefault="00351E64" w:rsidP="00351E64">
            <w:pPr>
              <w:spacing w:after="0"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«Признание неизбежности вмешательства государства… свидетельствует о дальновидности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(с. 503).</w:t>
            </w:r>
          </w:p>
        </w:tc>
        <w:tc>
          <w:tcPr>
            <w:tcW w:w="565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351E64" w:rsidRPr="00351E64" w:rsidRDefault="00351E64" w:rsidP="00351E64">
            <w:pPr>
              <w:spacing w:after="0"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w:t>
            </w:r>
            <w:proofErr w:type="spellStart"/>
            <w:r w:rsidRPr="00351E64">
              <w:rPr>
                <w:rFonts w:ascii="Times New Roman" w:eastAsia="Times New Roman" w:hAnsi="Times New Roman" w:cs="Times New Roman"/>
                <w:sz w:val="24"/>
                <w:szCs w:val="24"/>
                <w:lang w:eastAsia="ru-RU"/>
              </w:rPr>
              <w:t>кейсианство</w:t>
            </w:r>
            <w:proofErr w:type="spellEnd"/>
            <w:r w:rsidRPr="00351E64">
              <w:rPr>
                <w:rFonts w:ascii="Times New Roman" w:eastAsia="Times New Roman" w:hAnsi="Times New Roman" w:cs="Times New Roman"/>
                <w:sz w:val="24"/>
                <w:szCs w:val="24"/>
                <w:lang w:eastAsia="ru-RU"/>
              </w:rPr>
              <w:t xml:space="preserve"> переживает непрерывный процесс изменений, движимый тем мотором, который создал и привел в движение ее основатель. Сохраняет свое непреходящее значение главная идея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 необходимость вмешательства государства как стабильного развития капиталистической экономики» (№12, с. 47).</w:t>
            </w:r>
          </w:p>
        </w:tc>
      </w:tr>
    </w:tbl>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первой работе И.М. Осадчая выступает с позиций марксистской критики учения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Она, как и ее предшественники, противопоставляет марксизм и </w:t>
      </w:r>
      <w:proofErr w:type="spellStart"/>
      <w:r w:rsidRPr="00351E64">
        <w:rPr>
          <w:rFonts w:ascii="Times New Roman" w:eastAsia="Times New Roman" w:hAnsi="Times New Roman" w:cs="Times New Roman"/>
          <w:sz w:val="24"/>
          <w:szCs w:val="24"/>
          <w:lang w:eastAsia="ru-RU"/>
        </w:rPr>
        <w:t>кейсианство</w:t>
      </w:r>
      <w:proofErr w:type="spellEnd"/>
      <w:r w:rsidRPr="00351E64">
        <w:rPr>
          <w:rFonts w:ascii="Times New Roman" w:eastAsia="Times New Roman" w:hAnsi="Times New Roman" w:cs="Times New Roman"/>
          <w:sz w:val="24"/>
          <w:szCs w:val="24"/>
          <w:lang w:eastAsia="ru-RU"/>
        </w:rPr>
        <w:t xml:space="preserve"> как диаметрально противоположные экономические системы. Однако во всех работах она подчеркивает прямую связь между экономической теорией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и его политической деятельностью, отдает должное "проницательности и оригинальности мышления Дж. Кейнса"</w:t>
      </w:r>
      <w:hyperlink r:id="rId42" w:anchor="40" w:history="1">
        <w:r w:rsidRPr="00351E64">
          <w:rPr>
            <w:rFonts w:ascii="Times New Roman" w:eastAsia="Times New Roman" w:hAnsi="Times New Roman" w:cs="Times New Roman"/>
            <w:color w:val="0000FF"/>
            <w:sz w:val="24"/>
            <w:szCs w:val="24"/>
            <w:u w:val="single"/>
            <w:vertAlign w:val="superscript"/>
            <w:lang w:eastAsia="ru-RU"/>
          </w:rPr>
          <w:t>40</w:t>
        </w:r>
      </w:hyperlink>
      <w:r w:rsidRPr="00351E64">
        <w:rPr>
          <w:rFonts w:ascii="Times New Roman" w:eastAsia="Times New Roman" w:hAnsi="Times New Roman" w:cs="Times New Roman"/>
          <w:sz w:val="24"/>
          <w:szCs w:val="24"/>
          <w:lang w:eastAsia="ru-RU"/>
        </w:rPr>
        <w:t xml:space="preserve">. Думается, что изменения во взглядах И.М. Осадчей связаны с переменами, которые стали происходить в нашей стране с середины 80-х гг. Они нашли отражение в различных сферах жизни, в том числе и в науке. Это процессы деидеологизации, </w:t>
      </w:r>
      <w:proofErr w:type="spellStart"/>
      <w:r w:rsidRPr="00351E64">
        <w:rPr>
          <w:rFonts w:ascii="Times New Roman" w:eastAsia="Times New Roman" w:hAnsi="Times New Roman" w:cs="Times New Roman"/>
          <w:sz w:val="24"/>
          <w:szCs w:val="24"/>
          <w:lang w:eastAsia="ru-RU"/>
        </w:rPr>
        <w:t>гуманизации</w:t>
      </w:r>
      <w:proofErr w:type="spellEnd"/>
      <w:r w:rsidRPr="00351E64">
        <w:rPr>
          <w:rFonts w:ascii="Times New Roman" w:eastAsia="Times New Roman" w:hAnsi="Times New Roman" w:cs="Times New Roman"/>
          <w:sz w:val="24"/>
          <w:szCs w:val="24"/>
          <w:lang w:eastAsia="ru-RU"/>
        </w:rPr>
        <w:t xml:space="preserve">, отказа от догматических постулатов марксистско-ленинского учения. Доктор экономических наук </w:t>
      </w:r>
      <w:proofErr w:type="spellStart"/>
      <w:r w:rsidRPr="00351E64">
        <w:rPr>
          <w:rFonts w:ascii="Times New Roman" w:eastAsia="Times New Roman" w:hAnsi="Times New Roman" w:cs="Times New Roman"/>
          <w:sz w:val="24"/>
          <w:szCs w:val="24"/>
          <w:lang w:eastAsia="ru-RU"/>
        </w:rPr>
        <w:t>Ю.Ольсевич</w:t>
      </w:r>
      <w:proofErr w:type="spellEnd"/>
      <w:r w:rsidRPr="00351E64">
        <w:rPr>
          <w:rFonts w:ascii="Times New Roman" w:eastAsia="Times New Roman" w:hAnsi="Times New Roman" w:cs="Times New Roman"/>
          <w:sz w:val="24"/>
          <w:szCs w:val="24"/>
          <w:lang w:eastAsia="ru-RU"/>
        </w:rPr>
        <w:t xml:space="preserve"> замечает, что "в нашу эпоху произошел перелом, изменился </w:t>
      </w:r>
      <w:proofErr w:type="spellStart"/>
      <w:r w:rsidRPr="00351E64">
        <w:rPr>
          <w:rFonts w:ascii="Times New Roman" w:eastAsia="Times New Roman" w:hAnsi="Times New Roman" w:cs="Times New Roman"/>
          <w:sz w:val="24"/>
          <w:szCs w:val="24"/>
          <w:lang w:eastAsia="ru-RU"/>
        </w:rPr>
        <w:t>зхарактер</w:t>
      </w:r>
      <w:proofErr w:type="spellEnd"/>
      <w:r w:rsidRPr="00351E64">
        <w:rPr>
          <w:rFonts w:ascii="Times New Roman" w:eastAsia="Times New Roman" w:hAnsi="Times New Roman" w:cs="Times New Roman"/>
          <w:sz w:val="24"/>
          <w:szCs w:val="24"/>
          <w:lang w:eastAsia="ru-RU"/>
        </w:rPr>
        <w:t xml:space="preserve"> развития экономической науки"</w:t>
      </w:r>
      <w:hyperlink r:id="rId43" w:anchor="41" w:history="1">
        <w:r w:rsidRPr="00351E64">
          <w:rPr>
            <w:rFonts w:ascii="Times New Roman" w:eastAsia="Times New Roman" w:hAnsi="Times New Roman" w:cs="Times New Roman"/>
            <w:color w:val="0000FF"/>
            <w:sz w:val="24"/>
            <w:szCs w:val="24"/>
            <w:u w:val="single"/>
            <w:vertAlign w:val="superscript"/>
            <w:lang w:eastAsia="ru-RU"/>
          </w:rPr>
          <w:t>41</w:t>
        </w:r>
      </w:hyperlink>
      <w:r w:rsidRPr="00351E64">
        <w:rPr>
          <w:rFonts w:ascii="Times New Roman" w:eastAsia="Times New Roman" w:hAnsi="Times New Roman" w:cs="Times New Roman"/>
          <w:sz w:val="24"/>
          <w:szCs w:val="24"/>
          <w:lang w:eastAsia="ru-RU"/>
        </w:rPr>
        <w:t xml:space="preserve">. Стремление объективно осветить учение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выразилось у И.М. Осадчей (в работах 90х гг.) в передаче основных положений его учения без идеологических штампов, в тесной связи с мировой экономической практикой и теорией.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xml:space="preserve">В отличие от многих западных критиков, И.М. Осадчая не склонна рассматривать теорию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только как "теорию депрессивной экономики" (т.е. имеющую силу лишь в условиях глубокой экономической депрессии). Она отдает должное тому, что эта теория несла на себе отпечаток времени. Это проявилось "…и в преувеличении значения условий реализации, в недооценке экзогенных стимулов к инвестициям, в резко отрицательном отношении к сбережениям"</w:t>
      </w:r>
      <w:hyperlink r:id="rId44" w:anchor="42" w:history="1">
        <w:r w:rsidRPr="00351E64">
          <w:rPr>
            <w:rFonts w:ascii="Times New Roman" w:eastAsia="Times New Roman" w:hAnsi="Times New Roman" w:cs="Times New Roman"/>
            <w:color w:val="0000FF"/>
            <w:sz w:val="24"/>
            <w:szCs w:val="24"/>
            <w:u w:val="single"/>
            <w:vertAlign w:val="superscript"/>
            <w:lang w:eastAsia="ru-RU"/>
          </w:rPr>
          <w:t>42</w:t>
        </w:r>
      </w:hyperlink>
      <w:r w:rsidRPr="00351E64">
        <w:rPr>
          <w:rFonts w:ascii="Times New Roman" w:eastAsia="Times New Roman" w:hAnsi="Times New Roman" w:cs="Times New Roman"/>
          <w:sz w:val="24"/>
          <w:szCs w:val="24"/>
          <w:lang w:eastAsia="ru-RU"/>
        </w:rPr>
        <w:t xml:space="preserve">. Жизнестойкость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И.М. Осадчая видит в том, что оно "оказалось органически связанным с реалиями экономического развития"</w:t>
      </w:r>
      <w:hyperlink r:id="rId45" w:anchor="43" w:history="1">
        <w:r w:rsidRPr="00351E64">
          <w:rPr>
            <w:rFonts w:ascii="Times New Roman" w:eastAsia="Times New Roman" w:hAnsi="Times New Roman" w:cs="Times New Roman"/>
            <w:color w:val="0000FF"/>
            <w:sz w:val="24"/>
            <w:szCs w:val="24"/>
            <w:u w:val="single"/>
            <w:vertAlign w:val="superscript"/>
            <w:lang w:eastAsia="ru-RU"/>
          </w:rPr>
          <w:t>43</w:t>
        </w:r>
      </w:hyperlink>
      <w:r w:rsidRPr="00351E64">
        <w:rPr>
          <w:rFonts w:ascii="Times New Roman" w:eastAsia="Times New Roman" w:hAnsi="Times New Roman" w:cs="Times New Roman"/>
          <w:sz w:val="24"/>
          <w:szCs w:val="24"/>
          <w:lang w:eastAsia="ru-RU"/>
        </w:rPr>
        <w:t xml:space="preserve">. И.М. Осадчая предостерегает от бездумного перенесения и использования идей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в российской экономике без учета опыта других стран и приводит ряд обоснованных доказательств. Она считает, что отечественным ученым и политикам необходимо знать о научной и практической деятельности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помнить о причинах кризиса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в середине 70-х гг. XX в., чтобы не допустить ошибок</w:t>
      </w:r>
      <w:hyperlink r:id="rId46" w:anchor="44" w:history="1">
        <w:r w:rsidRPr="00351E64">
          <w:rPr>
            <w:rFonts w:ascii="Times New Roman" w:eastAsia="Times New Roman" w:hAnsi="Times New Roman" w:cs="Times New Roman"/>
            <w:color w:val="0000FF"/>
            <w:sz w:val="24"/>
            <w:szCs w:val="24"/>
            <w:u w:val="single"/>
            <w:vertAlign w:val="superscript"/>
            <w:lang w:eastAsia="ru-RU"/>
          </w:rPr>
          <w:t>44</w:t>
        </w:r>
      </w:hyperlink>
      <w:r w:rsidRPr="00351E64">
        <w:rPr>
          <w:rFonts w:ascii="Times New Roman" w:eastAsia="Times New Roman" w:hAnsi="Times New Roman" w:cs="Times New Roman"/>
          <w:sz w:val="24"/>
          <w:szCs w:val="24"/>
          <w:lang w:eastAsia="ru-RU"/>
        </w:rPr>
        <w:t xml:space="preserve">. Об этом же пишет Л.П. </w:t>
      </w:r>
      <w:proofErr w:type="spellStart"/>
      <w:r w:rsidRPr="00351E64">
        <w:rPr>
          <w:rFonts w:ascii="Times New Roman" w:eastAsia="Times New Roman" w:hAnsi="Times New Roman" w:cs="Times New Roman"/>
          <w:sz w:val="24"/>
          <w:szCs w:val="24"/>
          <w:lang w:eastAsia="ru-RU"/>
        </w:rPr>
        <w:t>Кураков</w:t>
      </w:r>
      <w:proofErr w:type="spellEnd"/>
      <w:r w:rsidRPr="00351E64">
        <w:rPr>
          <w:rFonts w:ascii="Times New Roman" w:eastAsia="Times New Roman" w:hAnsi="Times New Roman" w:cs="Times New Roman"/>
          <w:sz w:val="24"/>
          <w:szCs w:val="24"/>
          <w:lang w:eastAsia="ru-RU"/>
        </w:rPr>
        <w:t xml:space="preserve"> в своем предисловии к книге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"Общая теория занятости, процента и денег", изданной в 1999 г. Он призывает взглянуть на творческое наследие великих ученых-экономистов с позиций сегодняшнего дня. При этом "необходимо взять все самое ценное, что накоплено в экономической теории, адаптировать это к специфическим российским условиям и направить на то, чтобы Россия превратилась в сильную экономическую державу, граждане которой имели бы высокий уровень жизни"</w:t>
      </w:r>
      <w:hyperlink r:id="rId47" w:anchor="45" w:history="1">
        <w:r w:rsidRPr="00351E64">
          <w:rPr>
            <w:rFonts w:ascii="Times New Roman" w:eastAsia="Times New Roman" w:hAnsi="Times New Roman" w:cs="Times New Roman"/>
            <w:color w:val="0000FF"/>
            <w:sz w:val="24"/>
            <w:szCs w:val="24"/>
            <w:u w:val="single"/>
            <w:vertAlign w:val="superscript"/>
            <w:lang w:eastAsia="ru-RU"/>
          </w:rPr>
          <w:t>45</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Опасения российских ученых вполне обоснованы. Некритическое применение экономической теории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в большинстве постсоциалистических стран привело "</w:t>
      </w:r>
      <w:r w:rsidRPr="00351E64">
        <w:rPr>
          <w:rFonts w:ascii="Times New Roman" w:eastAsia="Times New Roman" w:hAnsi="Times New Roman" w:cs="Times New Roman"/>
          <w:i/>
          <w:iCs/>
          <w:sz w:val="24"/>
          <w:szCs w:val="24"/>
          <w:lang w:eastAsia="ru-RU"/>
        </w:rPr>
        <w:t>к эскалации финансового, промышленного кризиса, безработице и росту конфликтов между различными социальными группами</w:t>
      </w:r>
      <w:r w:rsidRPr="00351E64">
        <w:rPr>
          <w:rFonts w:ascii="Times New Roman" w:eastAsia="Times New Roman" w:hAnsi="Times New Roman" w:cs="Times New Roman"/>
          <w:sz w:val="24"/>
          <w:szCs w:val="24"/>
          <w:lang w:eastAsia="ru-RU"/>
        </w:rPr>
        <w:t xml:space="preserve">". Этот факт констатирует </w:t>
      </w:r>
      <w:r w:rsidRPr="00351E64">
        <w:rPr>
          <w:rFonts w:ascii="Times New Roman" w:eastAsia="Times New Roman" w:hAnsi="Times New Roman" w:cs="Times New Roman"/>
          <w:i/>
          <w:iCs/>
          <w:sz w:val="24"/>
          <w:szCs w:val="24"/>
          <w:lang w:eastAsia="ru-RU"/>
        </w:rPr>
        <w:t>Романчук</w:t>
      </w:r>
      <w:r w:rsidRPr="00351E64">
        <w:rPr>
          <w:rFonts w:ascii="Times New Roman" w:eastAsia="Times New Roman" w:hAnsi="Times New Roman" w:cs="Times New Roman"/>
          <w:sz w:val="24"/>
          <w:szCs w:val="24"/>
          <w:lang w:eastAsia="ru-RU"/>
        </w:rPr>
        <w:t xml:space="preserve"> (ведущий эксперт АЦ "Стратегия" (Беларусь) в своей статье, </w:t>
      </w:r>
      <w:proofErr w:type="spellStart"/>
      <w:r w:rsidRPr="00351E64">
        <w:rPr>
          <w:rFonts w:ascii="Times New Roman" w:eastAsia="Times New Roman" w:hAnsi="Times New Roman" w:cs="Times New Roman"/>
          <w:sz w:val="24"/>
          <w:szCs w:val="24"/>
          <w:lang w:eastAsia="ru-RU"/>
        </w:rPr>
        <w:t>помещанной</w:t>
      </w:r>
      <w:proofErr w:type="spellEnd"/>
      <w:r w:rsidRPr="00351E64">
        <w:rPr>
          <w:rFonts w:ascii="Times New Roman" w:eastAsia="Times New Roman" w:hAnsi="Times New Roman" w:cs="Times New Roman"/>
          <w:sz w:val="24"/>
          <w:szCs w:val="24"/>
          <w:lang w:eastAsia="ru-RU"/>
        </w:rPr>
        <w:t xml:space="preserve"> в Интернете под названием </w:t>
      </w:r>
      <w:r w:rsidRPr="00351E64">
        <w:rPr>
          <w:rFonts w:ascii="Times New Roman" w:eastAsia="Times New Roman" w:hAnsi="Times New Roman" w:cs="Times New Roman"/>
          <w:i/>
          <w:iCs/>
          <w:sz w:val="24"/>
          <w:szCs w:val="24"/>
          <w:lang w:eastAsia="ru-RU"/>
        </w:rPr>
        <w:t>"</w:t>
      </w:r>
      <w:proofErr w:type="spellStart"/>
      <w:r w:rsidRPr="00351E64">
        <w:rPr>
          <w:rFonts w:ascii="Times New Roman" w:eastAsia="Times New Roman" w:hAnsi="Times New Roman" w:cs="Times New Roman"/>
          <w:i/>
          <w:iCs/>
          <w:sz w:val="24"/>
          <w:szCs w:val="24"/>
          <w:lang w:eastAsia="ru-RU"/>
        </w:rPr>
        <w:t>Кейсианство</w:t>
      </w:r>
      <w:proofErr w:type="spellEnd"/>
      <w:r w:rsidRPr="00351E64">
        <w:rPr>
          <w:rFonts w:ascii="Times New Roman" w:eastAsia="Times New Roman" w:hAnsi="Times New Roman" w:cs="Times New Roman"/>
          <w:i/>
          <w:iCs/>
          <w:sz w:val="24"/>
          <w:szCs w:val="24"/>
          <w:lang w:eastAsia="ru-RU"/>
        </w:rPr>
        <w:t>: стратегия мифотворчества"</w:t>
      </w:r>
      <w:r w:rsidRPr="00351E64">
        <w:rPr>
          <w:rFonts w:ascii="Times New Roman" w:eastAsia="Times New Roman" w:hAnsi="Times New Roman" w:cs="Times New Roman"/>
          <w:sz w:val="24"/>
          <w:szCs w:val="24"/>
          <w:lang w:eastAsia="ru-RU"/>
        </w:rPr>
        <w:t xml:space="preserve">. Он считает, </w:t>
      </w:r>
      <w:proofErr w:type="spellStart"/>
      <w:r w:rsidRPr="00351E64">
        <w:rPr>
          <w:rFonts w:ascii="Times New Roman" w:eastAsia="Times New Roman" w:hAnsi="Times New Roman" w:cs="Times New Roman"/>
          <w:sz w:val="24"/>
          <w:szCs w:val="24"/>
          <w:lang w:eastAsia="ru-RU"/>
        </w:rPr>
        <w:t>кейсианская</w:t>
      </w:r>
      <w:proofErr w:type="spellEnd"/>
      <w:r w:rsidRPr="00351E64">
        <w:rPr>
          <w:rFonts w:ascii="Times New Roman" w:eastAsia="Times New Roman" w:hAnsi="Times New Roman" w:cs="Times New Roman"/>
          <w:sz w:val="24"/>
          <w:szCs w:val="24"/>
          <w:lang w:eastAsia="ru-RU"/>
        </w:rPr>
        <w:t xml:space="preserve"> теория не выдержала испытания временем. Это заключение автор делает, проанализировав основные идеи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применительно к реалиям нашего времени. В заключение </w:t>
      </w:r>
      <w:proofErr w:type="spellStart"/>
      <w:r w:rsidRPr="00351E64">
        <w:rPr>
          <w:rFonts w:ascii="Times New Roman" w:eastAsia="Times New Roman" w:hAnsi="Times New Roman" w:cs="Times New Roman"/>
          <w:sz w:val="24"/>
          <w:szCs w:val="24"/>
          <w:lang w:eastAsia="ru-RU"/>
        </w:rPr>
        <w:t>Я.Романчук</w:t>
      </w:r>
      <w:proofErr w:type="spellEnd"/>
      <w:r w:rsidRPr="00351E64">
        <w:rPr>
          <w:rFonts w:ascii="Times New Roman" w:eastAsia="Times New Roman" w:hAnsi="Times New Roman" w:cs="Times New Roman"/>
          <w:sz w:val="24"/>
          <w:szCs w:val="24"/>
          <w:lang w:eastAsia="ru-RU"/>
        </w:rPr>
        <w:t xml:space="preserve"> пишет: </w:t>
      </w:r>
      <w:r w:rsidRPr="00351E64">
        <w:rPr>
          <w:rFonts w:ascii="Times New Roman" w:eastAsia="Times New Roman" w:hAnsi="Times New Roman" w:cs="Times New Roman"/>
          <w:i/>
          <w:iCs/>
          <w:sz w:val="24"/>
          <w:szCs w:val="24"/>
          <w:lang w:eastAsia="ru-RU"/>
        </w:rPr>
        <w:t xml:space="preserve">"Положительный опыт послевоенной Германии и Японии, новозеландское и </w:t>
      </w:r>
      <w:proofErr w:type="gramStart"/>
      <w:r w:rsidRPr="00351E64">
        <w:rPr>
          <w:rFonts w:ascii="Times New Roman" w:eastAsia="Times New Roman" w:hAnsi="Times New Roman" w:cs="Times New Roman"/>
          <w:i/>
          <w:iCs/>
          <w:sz w:val="24"/>
          <w:szCs w:val="24"/>
          <w:lang w:eastAsia="ru-RU"/>
        </w:rPr>
        <w:t>гон-</w:t>
      </w:r>
      <w:proofErr w:type="spellStart"/>
      <w:r w:rsidRPr="00351E64">
        <w:rPr>
          <w:rFonts w:ascii="Times New Roman" w:eastAsia="Times New Roman" w:hAnsi="Times New Roman" w:cs="Times New Roman"/>
          <w:i/>
          <w:iCs/>
          <w:sz w:val="24"/>
          <w:szCs w:val="24"/>
          <w:lang w:eastAsia="ru-RU"/>
        </w:rPr>
        <w:t>конгское</w:t>
      </w:r>
      <w:proofErr w:type="spellEnd"/>
      <w:proofErr w:type="gramEnd"/>
      <w:r w:rsidRPr="00351E64">
        <w:rPr>
          <w:rFonts w:ascii="Times New Roman" w:eastAsia="Times New Roman" w:hAnsi="Times New Roman" w:cs="Times New Roman"/>
          <w:i/>
          <w:iCs/>
          <w:sz w:val="24"/>
          <w:szCs w:val="24"/>
          <w:lang w:eastAsia="ru-RU"/>
        </w:rPr>
        <w:t xml:space="preserve"> "чудеса" 70-х и 80-х годов, анализ эмпирических данных развития стран - лидеров мировой экономики позволяют сделать вывод о том, что рост богатства, стабильность макроэкономических систем, высокая степень социальной защищенности были достигнуты не благодаря, а вопреки применению кейнсианских рецептов</w:t>
      </w:r>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Думается, что в наше время бессмысленно пытаться внедрить идеи самого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для реформирования экономики отдельных стран и с этих позиций их анализировать. Теория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была ответом на происходящие в 30-е гг. XX в. перемены. Как и любая другая теория в своем развитии она прошла ряд этапов, имела и имеет своих противников и последователей. Последние развивают ее основные положения применительно к реалиям сегодняшнего дня. Как правильно заметила Осадчая И.: "История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 это история непрерывного развития, приспособления к меняющейся действительности, поисков и уточнений как в области теоретического анализа, так и в практической политике"</w:t>
      </w:r>
      <w:hyperlink r:id="rId48" w:anchor="46" w:history="1">
        <w:r w:rsidRPr="00351E64">
          <w:rPr>
            <w:rFonts w:ascii="Times New Roman" w:eastAsia="Times New Roman" w:hAnsi="Times New Roman" w:cs="Times New Roman"/>
            <w:color w:val="0000FF"/>
            <w:sz w:val="24"/>
            <w:szCs w:val="24"/>
            <w:u w:val="single"/>
            <w:vertAlign w:val="superscript"/>
            <w:lang w:eastAsia="ru-RU"/>
          </w:rPr>
          <w:t>46</w:t>
        </w:r>
      </w:hyperlink>
      <w:r w:rsidRPr="00351E64">
        <w:rPr>
          <w:rFonts w:ascii="Times New Roman" w:eastAsia="Times New Roman" w:hAnsi="Times New Roman" w:cs="Times New Roman"/>
          <w:sz w:val="24"/>
          <w:szCs w:val="24"/>
          <w:lang w:eastAsia="ru-RU"/>
        </w:rPr>
        <w:t xml:space="preserve">. Кризис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не означал полного отказа от рекомендаций, разработанных </w:t>
      </w:r>
      <w:proofErr w:type="spellStart"/>
      <w:r w:rsidRPr="00351E64">
        <w:rPr>
          <w:rFonts w:ascii="Times New Roman" w:eastAsia="Times New Roman" w:hAnsi="Times New Roman" w:cs="Times New Roman"/>
          <w:sz w:val="24"/>
          <w:szCs w:val="24"/>
          <w:lang w:eastAsia="ru-RU"/>
        </w:rPr>
        <w:t>Кейнсом</w:t>
      </w:r>
      <w:proofErr w:type="spellEnd"/>
      <w:r w:rsidRPr="00351E64">
        <w:rPr>
          <w:rFonts w:ascii="Times New Roman" w:eastAsia="Times New Roman" w:hAnsi="Times New Roman" w:cs="Times New Roman"/>
          <w:sz w:val="24"/>
          <w:szCs w:val="24"/>
          <w:lang w:eastAsia="ru-RU"/>
        </w:rPr>
        <w:t xml:space="preserve"> и его последователями. </w:t>
      </w:r>
      <w:proofErr w:type="spellStart"/>
      <w:r w:rsidRPr="00351E64">
        <w:rPr>
          <w:rFonts w:ascii="Times New Roman" w:eastAsia="Times New Roman" w:hAnsi="Times New Roman" w:cs="Times New Roman"/>
          <w:sz w:val="24"/>
          <w:szCs w:val="24"/>
          <w:lang w:eastAsia="ru-RU"/>
        </w:rPr>
        <w:t>Кейсианство</w:t>
      </w:r>
      <w:proofErr w:type="spellEnd"/>
      <w:r w:rsidRPr="00351E64">
        <w:rPr>
          <w:rFonts w:ascii="Times New Roman" w:eastAsia="Times New Roman" w:hAnsi="Times New Roman" w:cs="Times New Roman"/>
          <w:sz w:val="24"/>
          <w:szCs w:val="24"/>
          <w:lang w:eastAsia="ru-RU"/>
        </w:rPr>
        <w:t xml:space="preserve"> стало неисчерпаемым источником идей, главная из которых - необходимость государственного вмешательства в экономику - уже не вызывает больших сомнений. Вопрос стоит только о методах этого воздействия.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xml:space="preserve">Таким образом, начиная с конца 40-х гг. нашего века, российские ученые уделяли пристальное внимание теории, разработанной английским экономистом </w:t>
      </w:r>
      <w:proofErr w:type="spellStart"/>
      <w:r w:rsidRPr="00351E64">
        <w:rPr>
          <w:rFonts w:ascii="Times New Roman" w:eastAsia="Times New Roman" w:hAnsi="Times New Roman" w:cs="Times New Roman"/>
          <w:sz w:val="24"/>
          <w:szCs w:val="24"/>
          <w:lang w:eastAsia="ru-RU"/>
        </w:rPr>
        <w:t>Дж.М</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Кейнсом</w:t>
      </w:r>
      <w:proofErr w:type="spellEnd"/>
      <w:r w:rsidRPr="00351E64">
        <w:rPr>
          <w:rFonts w:ascii="Times New Roman" w:eastAsia="Times New Roman" w:hAnsi="Times New Roman" w:cs="Times New Roman"/>
          <w:sz w:val="24"/>
          <w:szCs w:val="24"/>
          <w:lang w:eastAsia="ru-RU"/>
        </w:rPr>
        <w:t xml:space="preserve">. В центре внимания находились следующие проблемы: причины появления учения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его основные положения, оценка значения этой теории в истории экономической мысли и в развитии мирового хозяйства. Российские ученые, критикуя учение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широко использовали достижения своих зарубежных коллег, в </w:t>
      </w:r>
      <w:proofErr w:type="spellStart"/>
      <w:r w:rsidRPr="00351E64">
        <w:rPr>
          <w:rFonts w:ascii="Times New Roman" w:eastAsia="Times New Roman" w:hAnsi="Times New Roman" w:cs="Times New Roman"/>
          <w:sz w:val="24"/>
          <w:szCs w:val="24"/>
          <w:lang w:eastAsia="ru-RU"/>
        </w:rPr>
        <w:t>т.ч</w:t>
      </w:r>
      <w:proofErr w:type="spellEnd"/>
      <w:r w:rsidRPr="00351E64">
        <w:rPr>
          <w:rFonts w:ascii="Times New Roman" w:eastAsia="Times New Roman" w:hAnsi="Times New Roman" w:cs="Times New Roman"/>
          <w:sz w:val="24"/>
          <w:szCs w:val="24"/>
          <w:lang w:eastAsia="ru-RU"/>
        </w:rPr>
        <w:t xml:space="preserve">. и </w:t>
      </w:r>
      <w:proofErr w:type="spellStart"/>
      <w:r w:rsidRPr="00351E64">
        <w:rPr>
          <w:rFonts w:ascii="Times New Roman" w:eastAsia="Times New Roman" w:hAnsi="Times New Roman" w:cs="Times New Roman"/>
          <w:sz w:val="24"/>
          <w:szCs w:val="24"/>
          <w:lang w:eastAsia="ru-RU"/>
        </w:rPr>
        <w:t>кейсианцев</w:t>
      </w:r>
      <w:proofErr w:type="spellEnd"/>
      <w:r w:rsidRPr="00351E64">
        <w:rPr>
          <w:rFonts w:ascii="Times New Roman" w:eastAsia="Times New Roman" w:hAnsi="Times New Roman" w:cs="Times New Roman"/>
          <w:sz w:val="24"/>
          <w:szCs w:val="24"/>
          <w:lang w:eastAsia="ru-RU"/>
        </w:rPr>
        <w:t>. Это, безусловно, является положительным моментом в их работах.</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Главную причину появления новой теории большинство отечественных ученых видело в мировом экономическом кризисе перепроизводства 1929-1936 гг., вызвавшем и кризис всей неоклассической школы. Однако Осадчая И. считает, что это был не просто очередной циклический кризис перепроизводства, а "кризис самой системы - системы, которая уже не могла функционировать по-старому и нуждалась в глубокой перестройке всего механизма регулирования"</w:t>
      </w:r>
      <w:hyperlink r:id="rId49" w:anchor="47" w:history="1">
        <w:r w:rsidRPr="00351E64">
          <w:rPr>
            <w:rFonts w:ascii="Times New Roman" w:eastAsia="Times New Roman" w:hAnsi="Times New Roman" w:cs="Times New Roman"/>
            <w:color w:val="0000FF"/>
            <w:sz w:val="24"/>
            <w:szCs w:val="24"/>
            <w:u w:val="single"/>
            <w:vertAlign w:val="superscript"/>
            <w:lang w:eastAsia="ru-RU"/>
          </w:rPr>
          <w:t>47</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Характерным для работ конца 40-х -начала 50-х гг. было господство марксистско-ленинского учения, наличие идеологических штампов, </w:t>
      </w:r>
      <w:proofErr w:type="spellStart"/>
      <w:r w:rsidRPr="00351E64">
        <w:rPr>
          <w:rFonts w:ascii="Times New Roman" w:eastAsia="Times New Roman" w:hAnsi="Times New Roman" w:cs="Times New Roman"/>
          <w:sz w:val="24"/>
          <w:szCs w:val="24"/>
          <w:lang w:eastAsia="ru-RU"/>
        </w:rPr>
        <w:t>классовоформационный</w:t>
      </w:r>
      <w:proofErr w:type="spellEnd"/>
      <w:r w:rsidRPr="00351E64">
        <w:rPr>
          <w:rFonts w:ascii="Times New Roman" w:eastAsia="Times New Roman" w:hAnsi="Times New Roman" w:cs="Times New Roman"/>
          <w:sz w:val="24"/>
          <w:szCs w:val="24"/>
          <w:lang w:eastAsia="ru-RU"/>
        </w:rPr>
        <w:t xml:space="preserve"> признак в классификации экономической теории. Именно с этих позиций критиковалась теория занятости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которую ряд российских ученых считали центральным звеном </w:t>
      </w:r>
      <w:proofErr w:type="spellStart"/>
      <w:r w:rsidRPr="00351E64">
        <w:rPr>
          <w:rFonts w:ascii="Times New Roman" w:eastAsia="Times New Roman" w:hAnsi="Times New Roman" w:cs="Times New Roman"/>
          <w:sz w:val="24"/>
          <w:szCs w:val="24"/>
          <w:lang w:eastAsia="ru-RU"/>
        </w:rPr>
        <w:t>кейсианской</w:t>
      </w:r>
      <w:proofErr w:type="spellEnd"/>
      <w:r w:rsidRPr="00351E64">
        <w:rPr>
          <w:rFonts w:ascii="Times New Roman" w:eastAsia="Times New Roman" w:hAnsi="Times New Roman" w:cs="Times New Roman"/>
          <w:sz w:val="24"/>
          <w:szCs w:val="24"/>
          <w:lang w:eastAsia="ru-RU"/>
        </w:rPr>
        <w:t xml:space="preserve"> теории. В.С. Астафьев сместил акценты в изучении теории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с теории полной занятости к теории "эффективного спроса". Враждебность в оценках учений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в этот период объяснялась как изменениями в международных отношениях, так и в особенностях ситуации в России. В 90-е гг. российские ученые пересмотрели свои оценки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На это повлияли следующие факторы. Во-первых, в отличие от предшествующих поколений ученых у них была возможность увидеть в перспективе значение этой теории и результаты внедрения рекомендаций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в экономику различных стран. Во-вторых, в общественно-политической, культурной и экономической жизни России произошли значительные перемены, которые без сомнения повлияли на изменение взглядов российских ученых.</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итоге, хочется заметить, что достижения наших ученых в освещении и критике учения </w:t>
      </w:r>
      <w:proofErr w:type="spellStart"/>
      <w:r w:rsidRPr="00351E64">
        <w:rPr>
          <w:rFonts w:ascii="Times New Roman" w:eastAsia="Times New Roman" w:hAnsi="Times New Roman" w:cs="Times New Roman"/>
          <w:sz w:val="24"/>
          <w:szCs w:val="24"/>
          <w:lang w:eastAsia="ru-RU"/>
        </w:rPr>
        <w:t>Кейнса</w:t>
      </w:r>
      <w:proofErr w:type="spellEnd"/>
      <w:r w:rsidRPr="00351E64">
        <w:rPr>
          <w:rFonts w:ascii="Times New Roman" w:eastAsia="Times New Roman" w:hAnsi="Times New Roman" w:cs="Times New Roman"/>
          <w:sz w:val="24"/>
          <w:szCs w:val="24"/>
          <w:lang w:eastAsia="ru-RU"/>
        </w:rPr>
        <w:t xml:space="preserve"> (такие, как периодизация эволюции взглядов английского ученого и всего </w:t>
      </w:r>
      <w:proofErr w:type="spellStart"/>
      <w:r w:rsidRPr="00351E64">
        <w:rPr>
          <w:rFonts w:ascii="Times New Roman" w:eastAsia="Times New Roman" w:hAnsi="Times New Roman" w:cs="Times New Roman"/>
          <w:sz w:val="24"/>
          <w:szCs w:val="24"/>
          <w:lang w:eastAsia="ru-RU"/>
        </w:rPr>
        <w:t>кейсианства</w:t>
      </w:r>
      <w:proofErr w:type="spellEnd"/>
      <w:r w:rsidRPr="00351E64">
        <w:rPr>
          <w:rFonts w:ascii="Times New Roman" w:eastAsia="Times New Roman" w:hAnsi="Times New Roman" w:cs="Times New Roman"/>
          <w:sz w:val="24"/>
          <w:szCs w:val="24"/>
          <w:lang w:eastAsia="ru-RU"/>
        </w:rPr>
        <w:t xml:space="preserve"> как учения, критика (пусть и с марксистско-ленинских позиций)) не должны безоговорочно отвергаться. Их необходимо использовать как в научных, так и в учебно-методических работах.</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lastRenderedPageBreak/>
        <w:t>РОСТ ПРЯМОГО МАРКЕТИНГА И ЭЛЕКТРОННОЙ ТОРГОВЛИ</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В.Ю. Демьянов, аспирант ТИСБИ</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Объем продаж товаров и услуг через традиционные каналы прямого маркетинга (торговля по каталогам, прямая почтовая реклама и продажи по телефону) возрастает очень быстро. В то время как в розничной торговле США продажи увеличиваются примерно на 3% в год, аналогичный показатель торговли по каталогам и прямой почтовой рекламы составляет 7%. Сюда входят продажи на потребительском рынке (50%), продажи на деловом рынке (29%) и поиск источников финансирования для благотворительных организаций (21%). По оценочным данным, объем продаж через каталоги и прямую почтовую рекламу составляет в США $252 млрд. в год, т.е. $461 в расчете на душу населения. Экстраординарный рост прямого маркетинга на потребительском рынке мы рассматриваем как реакцию на сложившуюся в маркетинге в 1990-х гг. ситуацию. Отход от массового маркетинга привел к появлению различных рыночных ниш с четко определенными покупательскими предпочтениями, число которых постоянно увеличивается. Высокая стоимость эксплуатации автомобиля, заторы на дорогах, головная боль, связанная с невозможностью найти место для парковки, нехватка времени, равнодушие продавцов в супермаркетах, очереди в кассу - все это стимулирует совершение покупок, не выходя из "крепости" - своего дома, благосклонное восприятие листовок с номерами телефонов, звонки по которым бесплатны, распространяемых компаниями прямого маркетинга. "Утомленные жизнью" жители больших городов высоко ценят готовность принять заказ ночью или в выходные дни знают, что телефонист-оператор будет внимателен и обходителен. Появление услуг по доставке покупки за 24 и 48 часов у таких компаний, как </w:t>
      </w:r>
      <w:proofErr w:type="spellStart"/>
      <w:r w:rsidRPr="00351E64">
        <w:rPr>
          <w:rFonts w:ascii="Times New Roman" w:eastAsia="Times New Roman" w:hAnsi="Times New Roman" w:cs="Times New Roman"/>
          <w:sz w:val="24"/>
          <w:szCs w:val="24"/>
          <w:lang w:eastAsia="ru-RU"/>
        </w:rPr>
        <w:t>Federal</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Express</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Airborne</w:t>
      </w:r>
      <w:proofErr w:type="spellEnd"/>
      <w:r w:rsidRPr="00351E64">
        <w:rPr>
          <w:rFonts w:ascii="Times New Roman" w:eastAsia="Times New Roman" w:hAnsi="Times New Roman" w:cs="Times New Roman"/>
          <w:sz w:val="24"/>
          <w:szCs w:val="24"/>
          <w:lang w:eastAsia="ru-RU"/>
        </w:rPr>
        <w:t>, DHL, обеспечило простоту процедуры и скорость исполнения заказов. Кроме того, многие сети магазинов снизили цены на товары, пользующиеся ограниченным спросом (например, приспособления для массажа спины), предоставив компаниям прямого маркетинга возможность продвигать их только заинтересованным покупателям. Наконец, мощность современных компьютеров обеспечивает создание и ведение обширных баз данных, которые позволяют найти лучшего клиента для каждого товара.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Набирает силу и использование прямой почтовой рекламы и </w:t>
      </w:r>
      <w:proofErr w:type="spellStart"/>
      <w:r w:rsidRPr="00351E64">
        <w:rPr>
          <w:rFonts w:ascii="Times New Roman" w:eastAsia="Times New Roman" w:hAnsi="Times New Roman" w:cs="Times New Roman"/>
          <w:sz w:val="24"/>
          <w:szCs w:val="24"/>
          <w:lang w:eastAsia="ru-RU"/>
        </w:rPr>
        <w:t>телепродаж</w:t>
      </w:r>
      <w:proofErr w:type="spellEnd"/>
      <w:r w:rsidRPr="00351E64">
        <w:rPr>
          <w:rFonts w:ascii="Times New Roman" w:eastAsia="Times New Roman" w:hAnsi="Times New Roman" w:cs="Times New Roman"/>
          <w:sz w:val="24"/>
          <w:szCs w:val="24"/>
          <w:lang w:eastAsia="ru-RU"/>
        </w:rPr>
        <w:t xml:space="preserve">, особенно на деловом рынке. Отчасти это связано с увеличением стоимости выхода на рынок товаров производственного назначения с помощью торговых представителей. В табл. 1 приведены расходы на один контакт с компанией потенциальным клиентом при использовании различных средств коммуникации. Очевидно, что при средней стоимости междугородных телефонных звонков в $250 они окупаются только в отношении крупных потенциальных клиентов и контрактов. Более дешевые средства коммуникаций, такие как </w:t>
      </w:r>
      <w:proofErr w:type="spellStart"/>
      <w:r w:rsidRPr="00351E64">
        <w:rPr>
          <w:rFonts w:ascii="Times New Roman" w:eastAsia="Times New Roman" w:hAnsi="Times New Roman" w:cs="Times New Roman"/>
          <w:sz w:val="24"/>
          <w:szCs w:val="24"/>
          <w:lang w:eastAsia="ru-RU"/>
        </w:rPr>
        <w:t>телепродажи</w:t>
      </w:r>
      <w:proofErr w:type="spellEnd"/>
      <w:r w:rsidRPr="00351E64">
        <w:rPr>
          <w:rFonts w:ascii="Times New Roman" w:eastAsia="Times New Roman" w:hAnsi="Times New Roman" w:cs="Times New Roman"/>
          <w:sz w:val="24"/>
          <w:szCs w:val="24"/>
          <w:lang w:eastAsia="ru-RU"/>
        </w:rPr>
        <w:t>, прямая почтовая реклама, современные электронные средства, оказываются гораздо более эффективными и позволяют охватить большее число покупателей.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Высокими темпами развиваются электронные коммуникации и реклама. </w:t>
      </w:r>
      <w:proofErr w:type="gramStart"/>
      <w:r w:rsidRPr="00351E64">
        <w:rPr>
          <w:rFonts w:ascii="Times New Roman" w:eastAsia="Times New Roman" w:hAnsi="Times New Roman" w:cs="Times New Roman"/>
          <w:sz w:val="24"/>
          <w:szCs w:val="24"/>
          <w:lang w:eastAsia="ru-RU"/>
        </w:rPr>
        <w:t>Со-здание</w:t>
      </w:r>
      <w:proofErr w:type="gramEnd"/>
      <w:r w:rsidRPr="00351E64">
        <w:rPr>
          <w:rFonts w:ascii="Times New Roman" w:eastAsia="Times New Roman" w:hAnsi="Times New Roman" w:cs="Times New Roman"/>
          <w:sz w:val="24"/>
          <w:szCs w:val="24"/>
          <w:lang w:eastAsia="ru-RU"/>
        </w:rPr>
        <w:t xml:space="preserve"> "информационной </w:t>
      </w:r>
      <w:proofErr w:type="spellStart"/>
      <w:r w:rsidRPr="00351E64">
        <w:rPr>
          <w:rFonts w:ascii="Times New Roman" w:eastAsia="Times New Roman" w:hAnsi="Times New Roman" w:cs="Times New Roman"/>
          <w:sz w:val="24"/>
          <w:szCs w:val="24"/>
          <w:lang w:eastAsia="ru-RU"/>
        </w:rPr>
        <w:t>супермагистрали</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Internet</w:t>
      </w:r>
      <w:proofErr w:type="spellEnd"/>
      <w:r w:rsidRPr="00351E64">
        <w:rPr>
          <w:rFonts w:ascii="Times New Roman" w:eastAsia="Times New Roman" w:hAnsi="Times New Roman" w:cs="Times New Roman"/>
          <w:sz w:val="24"/>
          <w:szCs w:val="24"/>
          <w:lang w:eastAsia="ru-RU"/>
        </w:rPr>
        <w:t xml:space="preserve">" явилось провозвестником поистине революционных изменений в коммерции. Процесс покупки и продажи, осуществляемый </w:t>
      </w:r>
      <w:r w:rsidRPr="00351E64">
        <w:rPr>
          <w:rFonts w:ascii="Times New Roman" w:eastAsia="Times New Roman" w:hAnsi="Times New Roman" w:cs="Times New Roman"/>
          <w:sz w:val="24"/>
          <w:szCs w:val="24"/>
          <w:lang w:eastAsia="ru-RU"/>
        </w:rPr>
        <w:lastRenderedPageBreak/>
        <w:t>при посредстве различных электронных средств коммуникации, получил название</w:t>
      </w:r>
      <w:r w:rsidRPr="00351E64">
        <w:rPr>
          <w:rFonts w:ascii="Times New Roman" w:eastAsia="Times New Roman" w:hAnsi="Times New Roman" w:cs="Times New Roman"/>
          <w:b/>
          <w:bCs/>
          <w:i/>
          <w:iCs/>
          <w:sz w:val="24"/>
          <w:szCs w:val="24"/>
          <w:lang w:eastAsia="ru-RU"/>
        </w:rPr>
        <w:t xml:space="preserve"> электронной коммерции. Электронные рынки</w:t>
      </w:r>
      <w:r w:rsidRPr="00351E64">
        <w:rPr>
          <w:rFonts w:ascii="Times New Roman" w:eastAsia="Times New Roman" w:hAnsi="Times New Roman" w:cs="Times New Roman"/>
          <w:sz w:val="24"/>
          <w:szCs w:val="24"/>
          <w:lang w:eastAsia="ru-RU"/>
        </w:rPr>
        <w:t xml:space="preserve"> - это информационные инструменты, которые дают описание товаров и услуг, предлагаемых продавцами, и позволяют покупателям производить поиск информации, определять свои желания или потребности, а также делать заказы с помощью кредитных карт, после чего осуществляется доставка товара - либо физически (в дом или офис покупателя), либо в электронном виде (например, программные продукты напрямую доставляются на жесткий диск компьютера покупателя).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Мы на каждом шагу встречаем примеры электронной торговли. Вот несколько из них.</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noProof/>
          <w:sz w:val="24"/>
          <w:szCs w:val="24"/>
          <w:lang w:eastAsia="ru-RU"/>
        </w:rPr>
        <mc:AlternateContent>
          <mc:Choice Requires="wps">
            <w:drawing>
              <wp:inline distT="0" distB="0" distL="0" distR="0" wp14:anchorId="0A31ECA7" wp14:editId="7F60854C">
                <wp:extent cx="142240" cy="142240"/>
                <wp:effectExtent l="0" t="0" r="0" b="0"/>
                <wp:docPr id="3" name="AutoShape 1" descr="http://old.tisbi.ru/science/vestnik/2001/issue1/images/tr_whit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2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F0B00" id="AutoShape 1" o:spid="_x0000_s1026" alt="http://old.tisbi.ru/science/vestnik/2001/issue1/images/tr_white.gif" style="width:11.2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Ek5AIAAAMGAAAOAAAAZHJzL2Uyb0RvYy54bWysVF1vmzAUfZ+0/2D5nYAp+QCVVF0I06Ru&#10;q9TteXLAgFWwme2EdNP++65NkibtnrbxALavOffjnHuvb/Zdi3ZMaS5FiskkwIiJQpZc1Cn++iX3&#10;FhhpQ0VJWylYip+YxjfLt2+uhz5hoWxkWzKFAEToZOhT3BjTJ76vi4Z1VE9kzwQYK6k6amCrar9U&#10;dAD0rvXDIJj5g1Rlr2TBtIbTbDTipcOvKlaYz1WlmUFtiiE2497KvTf27S+vaVIr2je8OIRB/yKK&#10;jnIBTk9QGTUUbRV/BdXxQkktKzMpZOfLquIFczlANiR4kc1DQ3vmcoHi6P5UJv3/YItPu3uFeJni&#10;K4wE7YCi262RzjMiGJVMF1CuAy3A1sRwveETtQWOOFDN/B3TRvBHSwfxudZbBp+O1kz7Rn0bGm7Y&#10;pOaVLfXQ6wQ8PvT3yhZL93eyeNRIyFVDRc1udQ+EgYwglOORUnJoGC0hZ2Ih/AsMu9GAhjbDR1lC&#10;8BSCd0TsK9VZH1BitHd8P534ZnuDCjgkURhGoIoCTIe19UCT48+90uY9kx2yixQriM6B092dNuPV&#10;4xXrS8icty2c06QVFweAOZ6Aa/jV2mwQTiE/4yBeL9aLyIvC2dqLgizzbvNV5M1yMp9mV9lqlZFf&#10;1i+JkoaXJRPWzVGtJDrRc+yaP4rs0Dejzk561bLlpYWzIWlVb1atQjsK3ZK7x5UcLM/X/MswXL0g&#10;lxcpESjsuzD28tli7kV5NPXiebDwAhK/i2dBFEdZfpnSHRfs31NCQ4rjaTh1LJ0F/SK3wD2vc6NJ&#10;B2pVqOVdihenSzSxClyL0lFrKG/H9VkpbPjPpQC6j0Q7vVqJjurfyPIJ5KokyAmUB5MTFo1UPzAa&#10;YAqlWH/fUsUwaj8IkHxMIitQ4zbRdB7CRp1bNucWKgqASrHBaFyuzDjqtr3idQOeiCuMkLbHK+4k&#10;bFtojOrQXDBpXCaHqWhH2fne3Xqe3cvfAAAA//8DAFBLAwQUAAYACAAAACEAWKFNmtkAAAADAQAA&#10;DwAAAGRycy9kb3ducmV2LnhtbEyPQUvDQBCF74L/YRnBi9iNQURiNkUKYhGhmGrP0+yYBLOzaXab&#10;xH/vqAe9zGN4w3vf5MvZdWqkIbSeDVwtElDElbct1wZetw+Xt6BCRLbYeSYDnxRgWZye5JhZP/EL&#10;jWWslYRwyNBAE2OfaR2qhhyGhe+JxXv3g8Mo61BrO+Ak4a7TaZLcaIctS0ODPa0aqj7KozMwVZtx&#10;t31+1JuL3drzYX1YlW9Pxpyfzfd3oCLN8e8YvvEFHQph2vsj26A6A/JI/Jnipek1qP2v6iLX/9mL&#10;LwAAAP//AwBQSwECLQAUAAYACAAAACEAtoM4kv4AAADhAQAAEwAAAAAAAAAAAAAAAAAAAAAAW0Nv&#10;bnRlbnRfVHlwZXNdLnhtbFBLAQItABQABgAIAAAAIQA4/SH/1gAAAJQBAAALAAAAAAAAAAAAAAAA&#10;AC8BAABfcmVscy8ucmVsc1BLAQItABQABgAIAAAAIQBRD7Ek5AIAAAMGAAAOAAAAAAAAAAAAAAAA&#10;AC4CAABkcnMvZTJvRG9jLnhtbFBLAQItABQABgAIAAAAIQBYoU2a2QAAAAMBAAAPAAAAAAAAAAAA&#10;AAAAAD4FAABkcnMvZG93bnJldi54bWxQSwUGAAAAAAQABADzAAAARAYAAAAA&#10;" filled="f" stroked="f">
                <o:lock v:ext="edit" aspectratio="t"/>
                <w10:anchorlock/>
              </v:rect>
            </w:pict>
          </mc:Fallback>
        </mc:AlternateContent>
      </w:r>
      <w:r w:rsidRPr="00351E64">
        <w:rPr>
          <w:rFonts w:ascii="Times New Roman" w:eastAsia="Times New Roman" w:hAnsi="Times New Roman" w:cs="Times New Roman"/>
          <w:sz w:val="24"/>
          <w:szCs w:val="24"/>
          <w:lang w:eastAsia="ru-RU"/>
        </w:rPr>
        <w:t>Корреспондент газеты хотела бы приобрести 35 мм фотокамеру. Она включает свой компьютер, щелкает мышью на ссылке "Спутник покупателя", затем выбирает раздел "Фотоаппараты", затем раздел "35 мм". На экране появляется список основных марок фотокамер, каждая из которых сопровождается подробным описанием. Она имеет возможность получить фотографию каждой фотокамеры и комментарии специалиста. Выбрав подходящую, репортер делает заказ, набирая номер своей кредитной карточки, адрес и выбирает способ доставки.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noProof/>
          <w:sz w:val="24"/>
          <w:szCs w:val="24"/>
          <w:lang w:eastAsia="ru-RU"/>
        </w:rPr>
        <mc:AlternateContent>
          <mc:Choice Requires="wps">
            <w:drawing>
              <wp:inline distT="0" distB="0" distL="0" distR="0" wp14:anchorId="3850691B" wp14:editId="2D8FB8F1">
                <wp:extent cx="142240" cy="142240"/>
                <wp:effectExtent l="0" t="0" r="0" b="0"/>
                <wp:docPr id="2" name="AutoShape 2" descr="http://old.tisbi.ru/science/vestnik/2001/issue1/images/tr_whit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2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F9C43" id="AutoShape 2" o:spid="_x0000_s1026" alt="http://old.tisbi.ru/science/vestnik/2001/issue1/images/tr_white.gif" style="width:11.2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OF5AIAAAMGAAAOAAAAZHJzL2Uyb0RvYy54bWysVE2PmzAQvVfqf7B8J3yUfICWrHZDqCpt&#10;25W2PVcONmAt2NR2QrZV/3vHJskmuz215QD2jJl5M+95rq73XYt2TGkuRYbDSYARE6WkXNQZ/vql&#10;8BYYaUMEJa0ULMNPTOPr5ds3V0Ofskg2sqVMIQgidDr0GW6M6VPf12XDOqInsmcCnJVUHTGwVbVP&#10;FRkgetf6URDM/EEq2itZMq3Bmo9OvHTxq4qV5nNVaWZQm2HAZtxbuffGvv3lFUlrRfqGlwcY5C9Q&#10;dIQLSHoKlRND0FbxV6E6XiqpZWUmpex8WVW8ZK4GqCYMXlTz0JCeuVqgObo/tUn/v7Dlp929Qpxm&#10;OMJIkA4outka6TIjMFGmS2jXgRZga2K43vCJ2gJHHKhm/o5pI/ijpSP0udZbBp+O1Ez7Rn0bGm7Y&#10;pOaVbfXQ6xQyPvT3yjZL93eyfNRIyFVDRM1udA+EgYwAytGklBwaRijUHNoQ/kUMu9EQDW2Gj5IC&#10;eALgHRH7SnU2B7QY7R3fTye+2d6gEoxhHEUxqKIE12FtM5D0+HOvtHnPZIfsIsMK0LngZHenzXj0&#10;eMTmErLgbQt2krbiwgAxRwukhl+tz4JwCvmZBMl6sV7EXhzN1l4c5Ll3U6xib1aE82n+Ll+t8vCX&#10;zRvGacMpZcKmOao1jE/0HG/NH0V2uDejzk561bLl1IazkLSqN6tWoR2B21K4x7UcPM/H/EsYrl9Q&#10;y4uSQmjsbZR4xWwx9+IinnrJPFh4QZjcJrMgTuK8uCzpjgv27yWhIcPJNJo6ls5Av6gtcM/r2kja&#10;gVoVanmX4cXpEEmtAteCOmoN4e24PmuFhf/cCqD7SLTTq5XoqP6NpE8gVyVBTqA8mJywaKT6gdEA&#10;UyjD+vuWKIZR+0GA5JMwtgI1bhNP5xFs1Llnc+4hooRQGTYYjcuVGUfdtle8biBT6BojpL3jFXcS&#10;tldoRHW4XDBpXCWHqWhH2fnenXqe3cvfAAAA//8DAFBLAwQUAAYACAAAACEAWKFNmtkAAAADAQAA&#10;DwAAAGRycy9kb3ducmV2LnhtbEyPQUvDQBCF74L/YRnBi9iNQURiNkUKYhGhmGrP0+yYBLOzaXab&#10;xH/vqAe9zGN4w3vf5MvZdWqkIbSeDVwtElDElbct1wZetw+Xt6BCRLbYeSYDnxRgWZye5JhZP/EL&#10;jWWslYRwyNBAE2OfaR2qhhyGhe+JxXv3g8Mo61BrO+Ak4a7TaZLcaIctS0ODPa0aqj7KozMwVZtx&#10;t31+1JuL3drzYX1YlW9Pxpyfzfd3oCLN8e8YvvEFHQph2vsj26A6A/JI/Jnipek1qP2v6iLX/9mL&#10;LwAAAP//AwBQSwECLQAUAAYACAAAACEAtoM4kv4AAADhAQAAEwAAAAAAAAAAAAAAAAAAAAAAW0Nv&#10;bnRlbnRfVHlwZXNdLnhtbFBLAQItABQABgAIAAAAIQA4/SH/1gAAAJQBAAALAAAAAAAAAAAAAAAA&#10;AC8BAABfcmVscy8ucmVsc1BLAQItABQABgAIAAAAIQCO9pOF5AIAAAMGAAAOAAAAAAAAAAAAAAAA&#10;AC4CAABkcnMvZTJvRG9jLnhtbFBLAQItABQABgAIAAAAIQBYoU2a2QAAAAMBAAAPAAAAAAAAAAAA&#10;AAAAAD4FAABkcnMvZG93bnJldi54bWxQSwUGAAAAAAQABADzAAAARAYAAAAA&#10;" filled="f" stroked="f">
                <o:lock v:ext="edit" aspectratio="t"/>
                <w10:anchorlock/>
              </v:rect>
            </w:pict>
          </mc:Fallback>
        </mc:AlternateContent>
      </w:r>
      <w:r w:rsidRPr="00351E64">
        <w:rPr>
          <w:rFonts w:ascii="Times New Roman" w:eastAsia="Times New Roman" w:hAnsi="Times New Roman" w:cs="Times New Roman"/>
          <w:sz w:val="24"/>
          <w:szCs w:val="24"/>
          <w:lang w:eastAsia="ru-RU"/>
        </w:rPr>
        <w:t xml:space="preserve">Одна из директоров компании собирается посетить Лондон и желает выбрать гостиницу. Она "входит" в программу </w:t>
      </w:r>
      <w:proofErr w:type="spellStart"/>
      <w:r w:rsidRPr="00351E64">
        <w:rPr>
          <w:rFonts w:ascii="Times New Roman" w:eastAsia="Times New Roman" w:hAnsi="Times New Roman" w:cs="Times New Roman"/>
          <w:b/>
          <w:bCs/>
          <w:i/>
          <w:iCs/>
          <w:sz w:val="24"/>
          <w:szCs w:val="24"/>
          <w:lang w:eastAsia="ru-RU"/>
        </w:rPr>
        <w:t>Easy</w:t>
      </w:r>
      <w:proofErr w:type="spellEnd"/>
      <w:r w:rsidRPr="00351E64">
        <w:rPr>
          <w:rFonts w:ascii="Times New Roman" w:eastAsia="Times New Roman" w:hAnsi="Times New Roman" w:cs="Times New Roman"/>
          <w:b/>
          <w:bCs/>
          <w:i/>
          <w:iCs/>
          <w:sz w:val="24"/>
          <w:szCs w:val="24"/>
          <w:lang w:eastAsia="ru-RU"/>
        </w:rPr>
        <w:t xml:space="preserve"> SABRE</w:t>
      </w:r>
      <w:r w:rsidRPr="00351E64">
        <w:rPr>
          <w:rFonts w:ascii="Times New Roman" w:eastAsia="Times New Roman" w:hAnsi="Times New Roman" w:cs="Times New Roman"/>
          <w:sz w:val="24"/>
          <w:szCs w:val="24"/>
          <w:lang w:eastAsia="ru-RU"/>
        </w:rPr>
        <w:t xml:space="preserve"> и вводит свои критерии отбора (стоимость проживания, расположение, отношение к клиентам, безопасность). Затем компьютер выдает список подходящих отелей, и, сделав выбор, женщина имеет возможность зарезервировать себе номер. Как правило, в программе имеются видеоролики по каждой гостинице.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noProof/>
          <w:sz w:val="24"/>
          <w:szCs w:val="24"/>
          <w:lang w:eastAsia="ru-RU"/>
        </w:rPr>
        <mc:AlternateContent>
          <mc:Choice Requires="wps">
            <w:drawing>
              <wp:inline distT="0" distB="0" distL="0" distR="0" wp14:anchorId="7FDD119D" wp14:editId="57CD1A23">
                <wp:extent cx="142240" cy="142240"/>
                <wp:effectExtent l="0" t="0" r="0" b="0"/>
                <wp:docPr id="1" name="AutoShape 3" descr="http://old.tisbi.ru/science/vestnik/2001/issue1/images/tr_whit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2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13E36" id="AutoShape 3" o:spid="_x0000_s1026" alt="http://old.tisbi.ru/science/vestnik/2001/issue1/images/tr_white.gif" style="width:11.2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p4gIAAAMGAAAOAAAAZHJzL2Uyb0RvYy54bWysVFtvmzAUfp+0/2D5nXApuYBKqi6EaVK3&#10;Ver2PDlgwCrYnu2EdNP++45NkibtnrbxALaP+c7l+865vtn3HdpRpZngGQ4nAUaUl6JivMnw1y+F&#10;t8BIG8Ir0glOM/xENb5Zvn1zPciURqIVXUUVAhCu00FmuDVGpr6vy5b2RE+EpByMtVA9MbBVjV8p&#10;MgB63/lREMz8QahKKlFSreE0H4146fDrmpbmc11ralCXYYjNuLdy7419+8trkjaKyJaVhzDIX0TR&#10;E8bB6QkqJ4agrWKvoHpWKqFFbSal6H1R16ykLgfIJgxeZPPQEkldLlAcLU9l0v8Ptvy0u1eIVcAd&#10;Rpz0QNHt1gjnGV1hVFFdQrkOtABbE8P0hk3UFjhiQDX1d1Qbzh4tHaHPtN5S+PSkodo36tvQMkMn&#10;DattqQepU/D4IO+VLZaWd6J81IiLVUt4Q2+1BMLGUI5HSomhpaSCnEML4V9g2I0GNLQZPooKgicQ&#10;vCNiX6ve+oASo73j++nEN90bVMJhGEdRDKoowXRYWw8kPf4slTbvqeiRXWRYQXQOnOzutBmvHq9Y&#10;X1wUrOvgnKQdvzgAzPEEXMOv1maDcAr5mQTJerFexF4czdZeHOS5d1usYm9WhPNpfpWvVnn4y/oN&#10;47RlVUW5dXNUaxif6Dl2zR9FduibUWcnvWrRscrC2ZC0ajarTqEdgW4p3ONKDpbna/5lGK5ekMuL&#10;lEIo7Lso8YrZYu7FRTz1knmw8IIweZfMgjiJ8+IypTvG6b+nhIYMJ9No6lg6C/pFboF7XudG0h7U&#10;qlDH+gwvTpdIahW45pWj1hDWjeuzUtjwn0sBdB+Jdnq1Eh3VvxHVE8hVCZATKA8mJyxaoX5gNMAU&#10;yrD+viWKYtR94CD5JIytQI3bxNN5BBt1btmcWwgvASrDBqNxuTLjqNtKxZoWPIWuMFzYHq+Zk7Bt&#10;oTGqQ3PBpHGZHKaiHWXne3freXYvfwMAAP//AwBQSwMEFAAGAAgAAAAhAFihTZrZAAAAAwEAAA8A&#10;AABkcnMvZG93bnJldi54bWxMj0FLw0AQhe+C/2EZwYvYjUFEYjZFCmIRoZhqz9PsmASzs2l2m8R/&#10;76gHvcxjeMN73+TL2XVqpCG0ng1cLRJQxJW3LdcGXrcPl7egQkS22HkmA58UYFmcnuSYWT/xC41l&#10;rJWEcMjQQBNjn2kdqoYchoXvicV794PDKOtQazvgJOGu02mS3GiHLUtDgz2tGqo+yqMzMFWbcbd9&#10;ftSbi93a82F9WJVvT8acn833d6AizfHvGL7xBR0KYdr7I9ugOgPySPyZ4qXpNaj9r+oi1//Ziy8A&#10;AAD//wMAUEsBAi0AFAAGAAgAAAAhALaDOJL+AAAA4QEAABMAAAAAAAAAAAAAAAAAAAAAAFtDb250&#10;ZW50X1R5cGVzXS54bWxQSwECLQAUAAYACAAAACEAOP0h/9YAAACUAQAACwAAAAAAAAAAAAAAAAAv&#10;AQAAX3JlbHMvLnJlbHNQSwECLQAUAAYACAAAACEA6viLKeICAAADBgAADgAAAAAAAAAAAAAAAAAu&#10;AgAAZHJzL2Uyb0RvYy54bWxQSwECLQAUAAYACAAAACEAWKFNmtkAAAADAQAADwAAAAAAAAAAAAAA&#10;AAA8BQAAZHJzL2Rvd25yZXYueG1sUEsFBgAAAAAEAAQA8wAAAEIGAAAAAA==&#10;" filled="f" stroked="f">
                <o:lock v:ext="edit" aspectratio="t"/>
                <w10:anchorlock/>
              </v:rect>
            </w:pict>
          </mc:Fallback>
        </mc:AlternateContent>
      </w:r>
      <w:r w:rsidRPr="00351E64">
        <w:rPr>
          <w:rFonts w:ascii="Times New Roman" w:eastAsia="Times New Roman" w:hAnsi="Times New Roman" w:cs="Times New Roman"/>
          <w:sz w:val="24"/>
          <w:szCs w:val="24"/>
          <w:lang w:eastAsia="ru-RU"/>
        </w:rPr>
        <w:t>Пожилой человек, страдающий высоким давлением, ищет врача-специалиста. Включив компьютер, он отправляется на "электронный рынок", на котором получает необходимую информацию о врачах, их образовании, опыте работы и плате, которую они берут за услуги. Выбрав специалиста, он связывается с его офисом и записывается на прием.</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Пока еще слишком рано говорить о том, сколько потребителей будут обращаться к электронной торговле в недалеком будущем, однако имеющиеся оценки воодушевляют. Сегодня в 30% из 97 млн. домашних хозяйств США есть персональный компьютер. По прогнозам </w:t>
      </w:r>
      <w:proofErr w:type="gramStart"/>
      <w:r w:rsidRPr="00351E64">
        <w:rPr>
          <w:rFonts w:ascii="Times New Roman" w:eastAsia="Times New Roman" w:hAnsi="Times New Roman" w:cs="Times New Roman"/>
          <w:sz w:val="24"/>
          <w:szCs w:val="24"/>
          <w:lang w:eastAsia="ru-RU"/>
        </w:rPr>
        <w:t>консультационной компании</w:t>
      </w:r>
      <w:proofErr w:type="gram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McKinsey</w:t>
      </w:r>
      <w:proofErr w:type="spellEnd"/>
      <w:r w:rsidRPr="00351E64">
        <w:rPr>
          <w:rFonts w:ascii="Times New Roman" w:eastAsia="Times New Roman" w:hAnsi="Times New Roman" w:cs="Times New Roman"/>
          <w:sz w:val="24"/>
          <w:szCs w:val="24"/>
          <w:lang w:eastAsia="ru-RU"/>
        </w:rPr>
        <w:t>, к 2003 г. уровень электронных продаж составит от $4 млрд. до $5 млрд. в год. А как электронная коммерция соотносится с теорией и практикой маркетинга?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Вот несколько оценок.</w:t>
      </w:r>
    </w:p>
    <w:p w:rsidR="00351E64" w:rsidRPr="00351E64" w:rsidRDefault="00351E64" w:rsidP="009472CE">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Электронные рынки будут характеризоваться более быстрым изменением цен. Гостиницы и авиакомпании смогут варьировать их в зависимости от объема спроса и предложения. Такая практика уже получила название "управление ценами по доходу". Продавцы будут назначать цены для отдельных групп покупателей в зависимости от числа совершенных ранее покупок и других факторов. Потребители смогут получать полную информацию о цене интересующего их товара в разных </w:t>
      </w:r>
      <w:r w:rsidRPr="00351E64">
        <w:rPr>
          <w:rFonts w:ascii="Times New Roman" w:eastAsia="Times New Roman" w:hAnsi="Times New Roman" w:cs="Times New Roman"/>
          <w:sz w:val="24"/>
          <w:szCs w:val="24"/>
          <w:lang w:eastAsia="ru-RU"/>
        </w:rPr>
        <w:lastRenderedPageBreak/>
        <w:t>магазинах по всему миру в реальном времени, что будет способствовать уменьшению разницы в ценах.</w:t>
      </w:r>
    </w:p>
    <w:p w:rsidR="00351E64" w:rsidRPr="00351E64" w:rsidRDefault="00351E64" w:rsidP="009472CE">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Электронная торговля изменит и роль "места" в маркетинге-</w:t>
      </w:r>
      <w:proofErr w:type="spellStart"/>
      <w:r w:rsidRPr="00351E64">
        <w:rPr>
          <w:rFonts w:ascii="Times New Roman" w:eastAsia="Times New Roman" w:hAnsi="Times New Roman" w:cs="Times New Roman"/>
          <w:sz w:val="24"/>
          <w:szCs w:val="24"/>
          <w:lang w:eastAsia="ru-RU"/>
        </w:rPr>
        <w:t>микс</w:t>
      </w:r>
      <w:proofErr w:type="spellEnd"/>
      <w:r w:rsidRPr="00351E64">
        <w:rPr>
          <w:rFonts w:ascii="Times New Roman" w:eastAsia="Times New Roman" w:hAnsi="Times New Roman" w:cs="Times New Roman"/>
          <w:sz w:val="24"/>
          <w:szCs w:val="24"/>
          <w:lang w:eastAsia="ru-RU"/>
        </w:rPr>
        <w:t xml:space="preserve">, так как </w:t>
      </w:r>
      <w:proofErr w:type="gramStart"/>
      <w:r w:rsidRPr="00351E64">
        <w:rPr>
          <w:rFonts w:ascii="Times New Roman" w:eastAsia="Times New Roman" w:hAnsi="Times New Roman" w:cs="Times New Roman"/>
          <w:sz w:val="24"/>
          <w:szCs w:val="24"/>
          <w:lang w:eastAsia="ru-RU"/>
        </w:rPr>
        <w:t>потреби-</w:t>
      </w:r>
      <w:proofErr w:type="spellStart"/>
      <w:r w:rsidRPr="00351E64">
        <w:rPr>
          <w:rFonts w:ascii="Times New Roman" w:eastAsia="Times New Roman" w:hAnsi="Times New Roman" w:cs="Times New Roman"/>
          <w:sz w:val="24"/>
          <w:szCs w:val="24"/>
          <w:lang w:eastAsia="ru-RU"/>
        </w:rPr>
        <w:t>тели</w:t>
      </w:r>
      <w:proofErr w:type="spellEnd"/>
      <w:proofErr w:type="gramEnd"/>
      <w:r w:rsidRPr="00351E64">
        <w:rPr>
          <w:rFonts w:ascii="Times New Roman" w:eastAsia="Times New Roman" w:hAnsi="Times New Roman" w:cs="Times New Roman"/>
          <w:sz w:val="24"/>
          <w:szCs w:val="24"/>
          <w:lang w:eastAsia="ru-RU"/>
        </w:rPr>
        <w:t xml:space="preserve"> получат возможность заказывать одежду, бытовую и электронную технику, цветы и многое другое в любом месте и в любое время, не заходя в магазин. С развитием электронных рынков сократится потребность в большом числе посредников между производителями и потребителями.</w:t>
      </w:r>
    </w:p>
    <w:p w:rsidR="00351E64" w:rsidRPr="00351E64" w:rsidRDefault="00351E64" w:rsidP="009472CE">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Покупатели будут иметь постоянный доступ к информации о товарах-конкурентах, равно как и к электронным сообществам, где они смогут обмениваться опытом и знаниями по различным товарным категориям. В результате реклама приобретет скорее информационный, нежели убеждающий характер.</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Богатый практический опыт использования электронной торговли и компьютерных сетей зарубежными компаниями может послужить стимулом для активного применения его достижений на российском рынке. Однако следует не забывать о том, что любые достижения и передовые разработки, применимые в деятельности зарубежных компаний, могут не оказать должного эффекта на местном рынке, поэтому не следует слепо копировать зарубежный опыт, а постараться максимально адаптировать его применительно к реалиям российской экономики.</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pStyle w:val="a3"/>
        <w:jc w:val="center"/>
      </w:pPr>
      <w:r>
        <w:rPr>
          <w:rStyle w:val="a4"/>
        </w:rPr>
        <w:lastRenderedPageBreak/>
        <w:t xml:space="preserve">ШТРАФ КАК УГОЛОВНОЕ НАКАЗАНИЕ В ИСТОРИИ УГОЛОВНОГО ПРАВА ДОСОВЕТСКОЙ РОССИИ </w:t>
      </w:r>
    </w:p>
    <w:p w:rsidR="00351E64" w:rsidRDefault="00351E64" w:rsidP="00351E64">
      <w:pPr>
        <w:pStyle w:val="a3"/>
        <w:jc w:val="center"/>
      </w:pPr>
    </w:p>
    <w:p w:rsidR="00351E64" w:rsidRDefault="00351E64" w:rsidP="00351E64">
      <w:pPr>
        <w:pStyle w:val="a3"/>
        <w:jc w:val="center"/>
      </w:pPr>
      <w:r>
        <w:rPr>
          <w:rStyle w:val="a4"/>
        </w:rPr>
        <w:t xml:space="preserve">А.В. </w:t>
      </w:r>
      <w:proofErr w:type="spellStart"/>
      <w:r>
        <w:rPr>
          <w:rStyle w:val="a4"/>
        </w:rPr>
        <w:t>Курц</w:t>
      </w:r>
      <w:proofErr w:type="spellEnd"/>
      <w:r>
        <w:rPr>
          <w:rStyle w:val="a4"/>
        </w:rPr>
        <w:t xml:space="preserve">, аспирант Марийского государственного университета </w:t>
      </w:r>
    </w:p>
    <w:p w:rsidR="00351E64" w:rsidRDefault="00351E64" w:rsidP="00351E64">
      <w:pPr>
        <w:pStyle w:val="a3"/>
        <w:jc w:val="center"/>
      </w:pPr>
    </w:p>
    <w:p w:rsidR="00351E64" w:rsidRDefault="00351E64" w:rsidP="00351E64">
      <w:pPr>
        <w:pStyle w:val="a3"/>
        <w:jc w:val="both"/>
      </w:pPr>
      <w:r>
        <w:t>В нашей стране штраф применялся в качестве уголовного наказания еще на заре отечественного права. Истоки возникновения штрафа можно увидеть в самых древних памятниках российского законодательства. Одним из таких памятников является Русская Правда. И в ней довольно значительное место уделено денежным штрафам.</w:t>
      </w:r>
    </w:p>
    <w:p w:rsidR="00351E64" w:rsidRDefault="00351E64" w:rsidP="00351E64">
      <w:pPr>
        <w:pStyle w:val="a3"/>
        <w:jc w:val="both"/>
      </w:pPr>
      <w:r>
        <w:t> </w:t>
      </w:r>
    </w:p>
    <w:p w:rsidR="00351E64" w:rsidRDefault="00351E64" w:rsidP="00351E64">
      <w:pPr>
        <w:pStyle w:val="a3"/>
        <w:jc w:val="both"/>
      </w:pPr>
      <w:r>
        <w:t xml:space="preserve">Древнейшей формой наказания в нашей стране являлась месть преступнику со стороны потерпевшего или его родственников. По договору с греками 911 г., убийцу можно было умертвить каждому безнаказанно на месте преступления: "Да умрем, </w:t>
      </w:r>
      <w:proofErr w:type="spellStart"/>
      <w:r>
        <w:t>идеже</w:t>
      </w:r>
      <w:proofErr w:type="spellEnd"/>
      <w:r>
        <w:t xml:space="preserve"> аще створить убийство"</w:t>
      </w:r>
      <w:hyperlink r:id="rId50" w:anchor="48" w:history="1">
        <w:proofErr w:type="gramStart"/>
        <w:r>
          <w:rPr>
            <w:rStyle w:val="a5"/>
            <w:vertAlign w:val="superscript"/>
          </w:rPr>
          <w:t>48</w:t>
        </w:r>
      </w:hyperlink>
      <w:r>
        <w:t xml:space="preserve"> .</w:t>
      </w:r>
      <w:proofErr w:type="gramEnd"/>
      <w:r>
        <w:t xml:space="preserve"> Договор 945 г. </w:t>
      </w:r>
      <w:hyperlink r:id="rId51" w:anchor="49" w:history="1">
        <w:r>
          <w:rPr>
            <w:rStyle w:val="a5"/>
            <w:vertAlign w:val="superscript"/>
          </w:rPr>
          <w:t>49</w:t>
        </w:r>
      </w:hyperlink>
      <w:r>
        <w:t>дает право жизни убийце только родственникам убитого без определения степени родства. Русская Правда ограничила круг мстителей за убийство только двумя степенями ближайших родственников убитого. Правда сыновей Ярослава запрещала убивать убийцу кому бы то ни было, предписав родственникам последнего довольствоваться определенной денежной компенсацией.</w:t>
      </w:r>
    </w:p>
    <w:p w:rsidR="00351E64" w:rsidRDefault="00351E64" w:rsidP="00351E64">
      <w:pPr>
        <w:pStyle w:val="a3"/>
        <w:jc w:val="both"/>
      </w:pPr>
      <w:r>
        <w:t> </w:t>
      </w:r>
    </w:p>
    <w:p w:rsidR="00351E64" w:rsidRDefault="00351E64" w:rsidP="00351E64">
      <w:pPr>
        <w:pStyle w:val="a3"/>
        <w:jc w:val="both"/>
      </w:pPr>
      <w:r>
        <w:t xml:space="preserve">Преобладающим видом наказания по Русской Правде были денежные взыскания с преступника, слагавшиеся из двух частей: штрафа и компенсации; штраф поступал князю, компенсация за причиненный преступлением ущерб шла потерпевшей стороне, а именно: за убийство - вира (в пользу князя) и </w:t>
      </w:r>
      <w:proofErr w:type="spellStart"/>
      <w:r>
        <w:t>головничество</w:t>
      </w:r>
      <w:proofErr w:type="spellEnd"/>
      <w:r>
        <w:t xml:space="preserve"> (родственникам потерпевшего), за прочие преступления - продажа (князю) и урок (потерпевшему). Тяжким наказанием в виде денежного взыскания была вира - денежный штраф, взыскивавшийся в пользу князя за убийство свободного человека</w:t>
      </w:r>
      <w:hyperlink r:id="rId52" w:anchor="50" w:history="1">
        <w:r>
          <w:rPr>
            <w:rStyle w:val="a5"/>
            <w:vertAlign w:val="superscript"/>
          </w:rPr>
          <w:t>50</w:t>
        </w:r>
      </w:hyperlink>
      <w:r>
        <w:t>. Слово "вира", не встречающееся в других славянских языках, считают заимствованным из немецкого языка (</w:t>
      </w:r>
      <w:proofErr w:type="spellStart"/>
      <w:r>
        <w:t>Wehrgeld</w:t>
      </w:r>
      <w:proofErr w:type="spellEnd"/>
      <w:r>
        <w:t>)</w:t>
      </w:r>
      <w:hyperlink r:id="rId53" w:anchor="51" w:history="1">
        <w:r>
          <w:rPr>
            <w:rStyle w:val="a5"/>
            <w:vertAlign w:val="superscript"/>
          </w:rPr>
          <w:t>51</w:t>
        </w:r>
      </w:hyperlink>
      <w:r>
        <w:t>.</w:t>
      </w:r>
    </w:p>
    <w:p w:rsidR="00351E64" w:rsidRDefault="00351E64" w:rsidP="00351E64">
      <w:pPr>
        <w:pStyle w:val="a3"/>
        <w:jc w:val="both"/>
      </w:pPr>
      <w:r>
        <w:t> </w:t>
      </w:r>
    </w:p>
    <w:p w:rsidR="00351E64" w:rsidRDefault="00351E64" w:rsidP="00351E64">
      <w:pPr>
        <w:pStyle w:val="a3"/>
        <w:jc w:val="both"/>
      </w:pPr>
      <w:r>
        <w:t>По Правде Ярослава вира взимается в том случае, если нет мстителя (ст. 1 Краткой редакции Русской Правды)</w:t>
      </w:r>
      <w:hyperlink r:id="rId54" w:anchor="52" w:history="1">
        <w:r>
          <w:rPr>
            <w:rStyle w:val="a5"/>
            <w:vertAlign w:val="superscript"/>
          </w:rPr>
          <w:t>52</w:t>
        </w:r>
      </w:hyperlink>
      <w:r>
        <w:t>. Вира взыскивалась не всегда с самого преступника, но иногда с общины - верви, к которой он принадлежал; в таком случае она называлась дикой вирой и взыскивалась в двух случаях: а) если совершено непредумышленное убийство и преступник состоит с членами общины в круговой поруке; б) если совершено предумышленное убийство, но община не разыскивает убийцу (прикрывает его или не выдает). В первом случае вервь платит с участием самого преступника (в соответственной доле); во втором случае уплата доли рассрочивается на несколько лет (</w:t>
      </w:r>
      <w:proofErr w:type="gramStart"/>
      <w:r>
        <w:t>Кар.,</w:t>
      </w:r>
      <w:proofErr w:type="gramEnd"/>
      <w:r>
        <w:t xml:space="preserve"> 5).</w:t>
      </w:r>
    </w:p>
    <w:p w:rsidR="00351E64" w:rsidRDefault="00351E64" w:rsidP="00351E64">
      <w:pPr>
        <w:pStyle w:val="a3"/>
        <w:jc w:val="both"/>
      </w:pPr>
      <w:r>
        <w:t> </w:t>
      </w:r>
    </w:p>
    <w:p w:rsidR="00351E64" w:rsidRDefault="00351E64" w:rsidP="00351E64">
      <w:pPr>
        <w:pStyle w:val="a3"/>
        <w:jc w:val="both"/>
      </w:pPr>
      <w:r>
        <w:t xml:space="preserve">Величина виры постоянна: за свободных людей вообще - 40 гривен. Двойная вира в размере 80 гривен полагалась вначале за убийство огнищанина, а позднее - за убийство княжих мужей, конюшего, старосты и тиуна (ст. 19, 22 Краткой редакции Русской Правды; ст. 3 </w:t>
      </w:r>
      <w:r>
        <w:lastRenderedPageBreak/>
        <w:t>Пространной редакции Русской Правды)</w:t>
      </w:r>
      <w:hyperlink r:id="rId55" w:anchor="53" w:history="1">
        <w:r>
          <w:rPr>
            <w:rStyle w:val="a5"/>
            <w:vertAlign w:val="superscript"/>
          </w:rPr>
          <w:t>53</w:t>
        </w:r>
      </w:hyperlink>
      <w:r>
        <w:t>, что свидетельствовало об усиленной защите жизни феодалов. За совершение таких преступлений, как отсечение ноги, руки, носа, выкалывание глаза, убийство свободной женщины, взималось "</w:t>
      </w:r>
      <w:proofErr w:type="spellStart"/>
      <w:r>
        <w:t>полувирье</w:t>
      </w:r>
      <w:proofErr w:type="spellEnd"/>
      <w:r>
        <w:t>" - т.е. штраф в размере 20 гривен (ст. ст. 27, 88 Пространной редакции Русской Правды)</w:t>
      </w:r>
      <w:hyperlink r:id="rId56" w:anchor="54" w:history="1">
        <w:proofErr w:type="gramStart"/>
        <w:r>
          <w:rPr>
            <w:rStyle w:val="a5"/>
            <w:vertAlign w:val="superscript"/>
          </w:rPr>
          <w:t>54</w:t>
        </w:r>
      </w:hyperlink>
      <w:r>
        <w:t xml:space="preserve"> .</w:t>
      </w:r>
      <w:proofErr w:type="gramEnd"/>
      <w:r>
        <w:t xml:space="preserve"> За убийство лиц рабского сословия взыскивался штраф в 12 гривен. Родственникам убитого полагалось денежное вознаграждение, именовавшееся </w:t>
      </w:r>
      <w:proofErr w:type="spellStart"/>
      <w:r>
        <w:t>головничеством</w:t>
      </w:r>
      <w:proofErr w:type="spellEnd"/>
      <w:r>
        <w:t xml:space="preserve">. По мнению большинства исследователей, размер </w:t>
      </w:r>
      <w:proofErr w:type="spellStart"/>
      <w:r>
        <w:t>головничества</w:t>
      </w:r>
      <w:proofErr w:type="spellEnd"/>
      <w:r>
        <w:t xml:space="preserve"> был равен размеру виры.</w:t>
      </w:r>
    </w:p>
    <w:p w:rsidR="00351E64" w:rsidRDefault="00351E64" w:rsidP="00351E64">
      <w:pPr>
        <w:pStyle w:val="a3"/>
        <w:jc w:val="both"/>
      </w:pPr>
      <w:r>
        <w:t> </w:t>
      </w:r>
    </w:p>
    <w:p w:rsidR="00351E64" w:rsidRDefault="00351E64" w:rsidP="00351E64">
      <w:pPr>
        <w:pStyle w:val="a3"/>
        <w:jc w:val="both"/>
      </w:pPr>
      <w:r>
        <w:t>Русская Правда предусматривает и такой вид наказания, как "продажа" - денежный штраф, взыскивавшийся с преступника в пользу князя за совершение ряда преступлений как против личности, так и имущественных. Уголовное значение продажи видно из некоторых приведенных фактов относительно виры; в Краткой Редакции Русской Правды оно вполне ясно, например, из следующего: "если украдет ладью, то за ладью 30 резан, а продажи 60 резан" (ст. 35 Краткой редакции Русской Правды)</w:t>
      </w:r>
      <w:hyperlink r:id="rId57" w:anchor="55" w:history="1">
        <w:r>
          <w:rPr>
            <w:rStyle w:val="a5"/>
            <w:vertAlign w:val="superscript"/>
          </w:rPr>
          <w:t>55</w:t>
        </w:r>
      </w:hyperlink>
      <w:r>
        <w:t>. Цифры продажи постоянны: 12 гривен (за убиение вора без требования обороны, оскорбление чести, лишение свободы за кражу холопа и бобра, за истребление коня и скота, за порчу меж); 3 гривны (и 30 кун) за все прочие преступления, кроме самых маловажных, за которые взыскивалось 60 кун или резан. Продажа обычно сопровождалась пошлиной, шедшей судебным агентам и исчислявшейся в размере 20% от продажи. Пострадавший получал денежное возмещение, носившее название "урок". Урок таксирован в законе (Краткой редакции Русской Правды) относительно преступлений личных, наносящих физический вред (за зуб - ст. 68, за палец - ст. 28, за рану - ст. 25 по 1 гривне)</w:t>
      </w:r>
      <w:hyperlink r:id="rId58" w:anchor="56" w:history="1">
        <w:proofErr w:type="gramStart"/>
        <w:r>
          <w:rPr>
            <w:rStyle w:val="a5"/>
            <w:vertAlign w:val="superscript"/>
          </w:rPr>
          <w:t>56</w:t>
        </w:r>
      </w:hyperlink>
      <w:r>
        <w:t xml:space="preserve"> ;</w:t>
      </w:r>
      <w:proofErr w:type="gramEnd"/>
      <w:r>
        <w:t xml:space="preserve"> за преступление против чести Русская Правда не дает таксы, между тем как церковный устав Ярослава содержит подробную оценку чести. При преступлениях имущественных или возвращается вещь, или цена ее, назначенная в законе. Денежные штрафы в определенном количестве могли иметь правильное уголовное значение лишь в период экономического равенства. При несостоятельности преступника они должны были заменяться другими уголовными наказаниями, что, действительно, и находим в позднейшем русском праве. Высший штраф, то есть вира, уплачиваемая без помощи общины, обыкновенно был не под силу для одного преступника, а потому в 3-й редакции Русской Правды вира и заменена уже в законе "потоком".</w:t>
      </w:r>
    </w:p>
    <w:p w:rsidR="00351E64" w:rsidRDefault="00351E64" w:rsidP="00351E64">
      <w:pPr>
        <w:pStyle w:val="a3"/>
        <w:jc w:val="both"/>
      </w:pPr>
      <w:r>
        <w:t> </w:t>
      </w:r>
    </w:p>
    <w:p w:rsidR="00351E64" w:rsidRDefault="00351E64" w:rsidP="00351E64">
      <w:pPr>
        <w:pStyle w:val="a3"/>
        <w:jc w:val="both"/>
      </w:pPr>
      <w:r>
        <w:t>Высшей мерой наказания по этой редакции Русской Правды являлся так называемый поток и разграбление. "Потоком" называлось лишение личных прав, а "разграблением" - лишение прав имущественных, и то и другое составляет одно наказание, а не два вида наказаний; хотя в одном случае (ст. 31) упомянут один поток без разграбления (за конокрадство), но в другом случае термин "</w:t>
      </w:r>
      <w:proofErr w:type="spellStart"/>
      <w:r>
        <w:t>поточити</w:t>
      </w:r>
      <w:proofErr w:type="spellEnd"/>
      <w:r>
        <w:t xml:space="preserve">" употреблен в смысле разграбления (ст. 97: за поджог или разграбление имущества преступника прежде всего удовлетворяется потерпевший, а "в остальном князю </w:t>
      </w:r>
      <w:proofErr w:type="spellStart"/>
      <w:r>
        <w:t>поточити</w:t>
      </w:r>
      <w:proofErr w:type="spellEnd"/>
      <w:r>
        <w:t>"). Поток и разграбление не только заменили виру за предумышленное убийство, но и распространялись на конокрадство и поджог, а практика распространяла это наказание и на политические преступления.</w:t>
      </w:r>
    </w:p>
    <w:p w:rsidR="00351E64" w:rsidRDefault="00351E64" w:rsidP="00351E64">
      <w:pPr>
        <w:pStyle w:val="a3"/>
        <w:jc w:val="both"/>
      </w:pPr>
      <w:r>
        <w:t> </w:t>
      </w:r>
    </w:p>
    <w:p w:rsidR="00351E64" w:rsidRDefault="00351E64" w:rsidP="00351E64">
      <w:pPr>
        <w:pStyle w:val="a3"/>
        <w:jc w:val="both"/>
      </w:pPr>
      <w:r>
        <w:t xml:space="preserve">Смертная казнь, телесные и </w:t>
      </w:r>
      <w:proofErr w:type="spellStart"/>
      <w:r>
        <w:t>членовредительные</w:t>
      </w:r>
      <w:proofErr w:type="spellEnd"/>
      <w:r>
        <w:t xml:space="preserve"> наказания не были свойственны древнейшей системе русского права, но появились они фактически довольно рано и, прежде всего, в практике церковных судов. Летописи сохранили сведения о смертной казни в Древней Руси. Так, в княжение Владимира </w:t>
      </w:r>
      <w:proofErr w:type="spellStart"/>
      <w:r>
        <w:t>Святославича</w:t>
      </w:r>
      <w:proofErr w:type="spellEnd"/>
      <w:r>
        <w:t xml:space="preserve"> увеличились разбои. Разбой представлял собой в ряде случаев не просто имущественное преступление, а акт </w:t>
      </w:r>
      <w:r>
        <w:lastRenderedPageBreak/>
        <w:t xml:space="preserve">социального протеста со стороны людей, терявших в процессе феодализации землю и стоявших на грани потери свободы. По совету епископов Владимир "отверг" виры и начал предавать разбойников смертной казни, но "со </w:t>
      </w:r>
      <w:proofErr w:type="spellStart"/>
      <w:r>
        <w:t>испытом</w:t>
      </w:r>
      <w:proofErr w:type="spellEnd"/>
      <w:r>
        <w:t>", т.е. после судебного разбирательства обстоятельств преступления. В дальнейшем епископы и "старцы" вновь обратились к киевскому князю, указав ему на необходимость возвращения к вирам, которые в условиях усиления военной опасности нужны были для приобретения оружия и коней. Владимир отменил смертную казнь и восстановил виры.</w:t>
      </w:r>
    </w:p>
    <w:p w:rsidR="00351E64" w:rsidRDefault="00351E64" w:rsidP="00351E64">
      <w:pPr>
        <w:pStyle w:val="a3"/>
        <w:jc w:val="both"/>
      </w:pPr>
      <w:r>
        <w:t> </w:t>
      </w:r>
    </w:p>
    <w:p w:rsidR="00351E64" w:rsidRDefault="00351E64" w:rsidP="00351E64">
      <w:pPr>
        <w:pStyle w:val="a3"/>
        <w:jc w:val="both"/>
      </w:pPr>
      <w:r>
        <w:t>В отличие от Русской Правды, по которой целью наказания являлось возмездие и возмещение материального ущерба, причиненного потерпевшему, Судебник 1497 г. имеет также в виду устрашение преступников и окружающего населения. Поэтому имущественные наказания в Судебнике уступают место другим, более суровым видам наказаний</w:t>
      </w:r>
      <w:hyperlink r:id="rId59" w:anchor="57" w:history="1">
        <w:r>
          <w:rPr>
            <w:rStyle w:val="a5"/>
            <w:vertAlign w:val="superscript"/>
          </w:rPr>
          <w:t>57</w:t>
        </w:r>
      </w:hyperlink>
      <w:r>
        <w:t>. Денежные наказания, бывшие в период Русской Правды лишь компенсацией за нанесенный ущерб, становятся с XIV в. средством обязательного искупления вины. Из имущества татей и разбойников удовлетворялись убытки истца при разбое. Если имущества не хватало, иски взыскивались в порядке частного вознаграждения с тех, "на кого по сыску доведется", а именно с соучастников (ст. 22 гл. XXI Соборного Уложения 1649 г.)</w:t>
      </w:r>
      <w:hyperlink r:id="rId60" w:anchor="58" w:history="1">
        <w:r>
          <w:rPr>
            <w:rStyle w:val="a5"/>
            <w:vertAlign w:val="superscript"/>
          </w:rPr>
          <w:t>58</w:t>
        </w:r>
      </w:hyperlink>
      <w:r>
        <w:t xml:space="preserve">. Сумма иска определялась в размере, указанном разбойниками во время пытки, а в случае, когда разбойники, сознаваясь в разбое, не могли перечислить "животов по </w:t>
      </w:r>
      <w:proofErr w:type="spellStart"/>
      <w:r>
        <w:t>имянно</w:t>
      </w:r>
      <w:proofErr w:type="spellEnd"/>
      <w:r>
        <w:t>", т.е. указать сумму награбленного, то истцу выплачивалась четверть предъявленного иска (ст. 23-25 гл. XXI Уложения)</w:t>
      </w:r>
      <w:hyperlink r:id="rId61" w:anchor="59" w:history="1">
        <w:r>
          <w:rPr>
            <w:rStyle w:val="a5"/>
            <w:vertAlign w:val="superscript"/>
          </w:rPr>
          <w:t>59</w:t>
        </w:r>
      </w:hyperlink>
      <w:r>
        <w:t>. Это, по мнению М.Ф. Владимирского-Буданова, объяснялось "постоянным в то самое время увеличением исков в челобитных"</w:t>
      </w:r>
      <w:hyperlink r:id="rId62" w:anchor="60" w:history="1">
        <w:r>
          <w:rPr>
            <w:rStyle w:val="a5"/>
            <w:vertAlign w:val="superscript"/>
          </w:rPr>
          <w:t>60</w:t>
        </w:r>
      </w:hyperlink>
      <w:r>
        <w:t>.</w:t>
      </w:r>
    </w:p>
    <w:p w:rsidR="00351E64" w:rsidRDefault="00351E64" w:rsidP="00351E64">
      <w:pPr>
        <w:pStyle w:val="a3"/>
        <w:jc w:val="both"/>
      </w:pPr>
      <w:r>
        <w:t> </w:t>
      </w:r>
    </w:p>
    <w:p w:rsidR="00351E64" w:rsidRDefault="00351E64" w:rsidP="00351E64">
      <w:pPr>
        <w:pStyle w:val="a3"/>
        <w:jc w:val="both"/>
      </w:pPr>
      <w:r>
        <w:t xml:space="preserve">"Продажа" (по Судебнику 1497 г.) означала денежный штраф за преступление и шла в пользу князя или лиц, осуществляющих правосудие. Размер продажи, как правило, устанавливался по усмотрению суда. Чаще всего продажа являлась дополнительным наказанием и применялась в сочетании с торговой или смертной казнью (ст. 8, 10 Судебника 1497 г.). Но продажа могла быть и самостоятельным видом наказания за злостную невыплату долга, оскорбление словом или </w:t>
      </w:r>
      <w:proofErr w:type="spellStart"/>
      <w:proofErr w:type="gramStart"/>
      <w:r>
        <w:t>дейст-вием</w:t>
      </w:r>
      <w:proofErr w:type="spellEnd"/>
      <w:proofErr w:type="gramEnd"/>
      <w:r>
        <w:t>. Судебник 1550 г. вводит денежные штрафы, именуемые "пеня". Они взыскиваются с должностных лиц за лихоимство - втрое против взятого (ст. 8-11) - и за нанесение бесчестья обвиняемому, за что пеня назначалась по указанию государя (ст. 25, 26, 35, 71)</w:t>
      </w:r>
      <w:hyperlink r:id="rId63" w:anchor="61" w:history="1">
        <w:r>
          <w:rPr>
            <w:rStyle w:val="a5"/>
            <w:vertAlign w:val="superscript"/>
          </w:rPr>
          <w:t>61</w:t>
        </w:r>
      </w:hyperlink>
      <w:r>
        <w:t xml:space="preserve">. Одновременно с выплатой продажи и пени виновный уплачивал денежное вознаграждение в пользу потерпевшего. Если по Судебникам оно полагалось истцу по всем видам преступления: "а побьются на поли в </w:t>
      </w:r>
      <w:proofErr w:type="spellStart"/>
      <w:r>
        <w:t>пожеге</w:t>
      </w:r>
      <w:proofErr w:type="spellEnd"/>
      <w:r>
        <w:t xml:space="preserve"> или в душегубстве, или в разбои, или в татьбе, </w:t>
      </w:r>
      <w:proofErr w:type="spellStart"/>
      <w:r>
        <w:t>ино</w:t>
      </w:r>
      <w:proofErr w:type="spellEnd"/>
      <w:r>
        <w:t xml:space="preserve"> на убитом (виновном) </w:t>
      </w:r>
      <w:proofErr w:type="spellStart"/>
      <w:r>
        <w:t>исцево</w:t>
      </w:r>
      <w:proofErr w:type="spellEnd"/>
      <w:r>
        <w:t xml:space="preserve"> </w:t>
      </w:r>
      <w:proofErr w:type="spellStart"/>
      <w:r>
        <w:t>доправити</w:t>
      </w:r>
      <w:proofErr w:type="spellEnd"/>
      <w:r>
        <w:t>" (ст. 7 Судебника 1497 г.)</w:t>
      </w:r>
      <w:hyperlink r:id="rId64" w:anchor="62" w:history="1">
        <w:r>
          <w:rPr>
            <w:rStyle w:val="a5"/>
            <w:vertAlign w:val="superscript"/>
          </w:rPr>
          <w:t>62</w:t>
        </w:r>
      </w:hyperlink>
      <w:r>
        <w:t>, то Соборное Уложение 1649 г. сохраняет денежные штрафы всего в восьми случаях - только за Преступления, посягавшие на имущество, здоровье и честь частного лица.</w:t>
      </w:r>
    </w:p>
    <w:p w:rsidR="00351E64" w:rsidRDefault="00351E64" w:rsidP="00351E64">
      <w:pPr>
        <w:pStyle w:val="a3"/>
        <w:jc w:val="both"/>
      </w:pPr>
      <w:r>
        <w:t> </w:t>
      </w:r>
    </w:p>
    <w:p w:rsidR="00351E64" w:rsidRDefault="00351E64" w:rsidP="00351E64">
      <w:pPr>
        <w:pStyle w:val="a3"/>
        <w:jc w:val="both"/>
      </w:pPr>
      <w:r>
        <w:t xml:space="preserve">Размеры платы за бесчестье дифференцированы: было бесчестье простое, двойное и тройное. К этому добавлялась система штрафных санкций за каждый вид телесного повреждения - выплата штрафа назначалась за отсечение руки, ноги, уха, носа и других частей тела: "за всякую рану по пятидесяти </w:t>
      </w:r>
      <w:proofErr w:type="spellStart"/>
      <w:r>
        <w:t>рублев</w:t>
      </w:r>
      <w:proofErr w:type="spellEnd"/>
      <w:r>
        <w:t>" (ст. 10 гл. XXII Уложения)</w:t>
      </w:r>
      <w:hyperlink r:id="rId65" w:anchor="63" w:history="1">
        <w:r>
          <w:rPr>
            <w:rStyle w:val="a5"/>
            <w:vertAlign w:val="superscript"/>
          </w:rPr>
          <w:t>63</w:t>
        </w:r>
      </w:hyperlink>
      <w:r>
        <w:t>. По Соборному Уложению 1649 г. одинаковое значение с пеней имела "заповедь", т.е. денежный штраф за проступки против полицейских распоряжений правительства (Уложение, гл. XXI, ст. 19-20; гл. XXV, ст. 1-2)</w:t>
      </w:r>
      <w:hyperlink r:id="rId66" w:anchor="64" w:history="1">
        <w:r>
          <w:rPr>
            <w:rStyle w:val="a5"/>
            <w:vertAlign w:val="superscript"/>
          </w:rPr>
          <w:t>64</w:t>
        </w:r>
      </w:hyperlink>
      <w:r>
        <w:t xml:space="preserve">; заповедью этот штраф назывался потому, </w:t>
      </w:r>
      <w:r>
        <w:lastRenderedPageBreak/>
        <w:t>что деяние, наказываемое им, само по себе безразличное, "заповедуется" (запрещается) из соображений полицейских или финансовых. Другой вид заповеди - это добавочное денежное наказание за общие преступления, если преступник раньше совершения преступления угрожал и тем вызвал против себя угрозу со стороны власти в виде заповеди.</w:t>
      </w:r>
    </w:p>
    <w:p w:rsidR="00351E64" w:rsidRDefault="00351E64" w:rsidP="00351E64">
      <w:pPr>
        <w:pStyle w:val="a3"/>
        <w:jc w:val="both"/>
      </w:pPr>
      <w:r>
        <w:t>Если виновный не имел средств, чтобы выплатить требуемое истцом вознаграждение, он либо выдавался истцу "головою на продажу", т.е. в холопство до отработки долга (ст. 10 Судебника 1497 г.)</w:t>
      </w:r>
      <w:hyperlink r:id="rId67" w:anchor="65" w:history="1">
        <w:r>
          <w:rPr>
            <w:rStyle w:val="a5"/>
            <w:vertAlign w:val="superscript"/>
          </w:rPr>
          <w:t>65</w:t>
        </w:r>
      </w:hyperlink>
      <w:r>
        <w:t xml:space="preserve">, либо подвергался правежу "безо </w:t>
      </w:r>
      <w:proofErr w:type="spellStart"/>
      <w:r>
        <w:t>всякия</w:t>
      </w:r>
      <w:proofErr w:type="spellEnd"/>
      <w:r>
        <w:t xml:space="preserve"> пощады" (ст. 133 гл. X Уложения)</w:t>
      </w:r>
      <w:hyperlink r:id="rId68" w:anchor="41" w:history="1">
        <w:r>
          <w:rPr>
            <w:rStyle w:val="a5"/>
            <w:vertAlign w:val="superscript"/>
          </w:rPr>
          <w:t>66</w:t>
        </w:r>
      </w:hyperlink>
      <w:r>
        <w:t>. Суть правежа заключалась в том, что ответчик регулярно подвергался судом процедуре телесного наказания - его били розгами по обнаженным икрам. Число таких процедур должно было быть эквивалентным сумме задолженности (за долг в сто рублей пороли в течение месяца). Здесь явно звучит архаический принцип замены имущественной ответственности личностной. "Правеж" - не просто наказание - это мера, побуждающая ответчика выполнить обязательство (у него могли найтись поручители, или он сам мог решиться на уплату долга).</w:t>
      </w:r>
    </w:p>
    <w:p w:rsidR="00351E64" w:rsidRDefault="00351E64" w:rsidP="00351E64">
      <w:pPr>
        <w:pStyle w:val="a3"/>
        <w:jc w:val="both"/>
      </w:pPr>
      <w:r>
        <w:t> </w:t>
      </w:r>
    </w:p>
    <w:p w:rsidR="00351E64" w:rsidRDefault="00351E64" w:rsidP="00351E64">
      <w:pPr>
        <w:pStyle w:val="a3"/>
        <w:jc w:val="both"/>
      </w:pPr>
      <w:r>
        <w:t>То есть в Уложении штраф занимает уже весьма скромное место</w:t>
      </w:r>
      <w:hyperlink r:id="rId69" w:anchor="67" w:history="1">
        <w:r>
          <w:rPr>
            <w:rStyle w:val="a5"/>
            <w:vertAlign w:val="superscript"/>
          </w:rPr>
          <w:t>67</w:t>
        </w:r>
      </w:hyperlink>
      <w:r>
        <w:t>. Главная цель наказания по Соборному Уложению - устрашение: наказать так, "</w:t>
      </w:r>
      <w:proofErr w:type="gramStart"/>
      <w:r>
        <w:t>чтобы</w:t>
      </w:r>
      <w:proofErr w:type="gramEnd"/>
      <w:r>
        <w:t xml:space="preserve"> смотря на то, иным неповадно было так делати"</w:t>
      </w:r>
      <w:hyperlink r:id="rId70" w:anchor="68" w:history="1">
        <w:r>
          <w:rPr>
            <w:rStyle w:val="a5"/>
          </w:rPr>
          <w:t>68</w:t>
        </w:r>
      </w:hyperlink>
      <w:r>
        <w:t>. Законодательство Петра I внесло свои коррективы в порядок взыскания штрафов. Денежные наказания взимались не только в пользу потерпевших, но главным образом в пользу государства - казну, Синод, госпитали лечебные и т.д. Наиболее распространенным в то время видом денежных наказаний являлись штрафы. Так, Указом от 17 сентября 1680 г. вместо введенного Уложением 1649 г. битья кнутом за порчу межей и граней (Гл. X. ст. 231) предписывалось "</w:t>
      </w:r>
      <w:proofErr w:type="spellStart"/>
      <w:r>
        <w:t>иматъ</w:t>
      </w:r>
      <w:proofErr w:type="spellEnd"/>
      <w:r>
        <w:t xml:space="preserve"> за всякую испорченную грань по 5 </w:t>
      </w:r>
      <w:proofErr w:type="spellStart"/>
      <w:r>
        <w:t>рублев</w:t>
      </w:r>
      <w:proofErr w:type="spellEnd"/>
      <w:r>
        <w:t xml:space="preserve"> и присылать те </w:t>
      </w:r>
      <w:proofErr w:type="spellStart"/>
      <w:r>
        <w:t>пенныя</w:t>
      </w:r>
      <w:proofErr w:type="spellEnd"/>
      <w:r>
        <w:t xml:space="preserve"> деньги к Москве в Поместный приказ"</w:t>
      </w:r>
      <w:hyperlink r:id="rId71" w:anchor="69" w:history="1">
        <w:r>
          <w:rPr>
            <w:rStyle w:val="a5"/>
            <w:vertAlign w:val="superscript"/>
          </w:rPr>
          <w:t>69</w:t>
        </w:r>
      </w:hyperlink>
      <w:r>
        <w:t>. Восстановление Указом 1682 г. торговой казни не помешало сохранению денежного штрафа.</w:t>
      </w:r>
    </w:p>
    <w:p w:rsidR="00351E64" w:rsidRDefault="00351E64" w:rsidP="00351E64">
      <w:pPr>
        <w:pStyle w:val="a3"/>
        <w:jc w:val="both"/>
      </w:pPr>
      <w:r>
        <w:t> </w:t>
      </w:r>
    </w:p>
    <w:p w:rsidR="00351E64" w:rsidRDefault="00351E64" w:rsidP="00351E64">
      <w:pPr>
        <w:pStyle w:val="a3"/>
        <w:jc w:val="both"/>
      </w:pPr>
      <w:r>
        <w:t xml:space="preserve">Как самостоятельные наказания штрафы от 1 рубля до 1000 взимались с должностных и частных лиц за невыполнение тех или иных предписаний. Так, за ношение русского платья, усов и бороды взыскивался штраф в 50 и 100 рублей с человека и по две деньги с крестьян. Поскольку желающих оставить усы и бороду было очень много, в 1724 г. при Сенате была даже учреждена особая контора. За неявку без "законных причин" на водную Ассамблею взимался штраф в "50 </w:t>
      </w:r>
      <w:proofErr w:type="spellStart"/>
      <w:r>
        <w:t>рублев</w:t>
      </w:r>
      <w:proofErr w:type="spellEnd"/>
      <w:r>
        <w:t xml:space="preserve">", в другой раз штраф вдвое, "а буде </w:t>
      </w:r>
      <w:proofErr w:type="gramStart"/>
      <w:r>
        <w:t>в третей</w:t>
      </w:r>
      <w:proofErr w:type="gramEnd"/>
      <w:r>
        <w:t xml:space="preserve"> раз, то сосланы будут в </w:t>
      </w:r>
      <w:proofErr w:type="spellStart"/>
      <w:r>
        <w:t>предиленною</w:t>
      </w:r>
      <w:proofErr w:type="spellEnd"/>
      <w:r>
        <w:t xml:space="preserve"> работу"</w:t>
      </w:r>
      <w:hyperlink r:id="rId72" w:anchor="41" w:history="1">
        <w:r>
          <w:rPr>
            <w:rStyle w:val="a5"/>
          </w:rPr>
          <w:t>70</w:t>
        </w:r>
      </w:hyperlink>
      <w:r>
        <w:t>. Штрафы использовались и как предупредительная мера. За каждого беглого солдата взыскивались денежные штрафы со всех чинов - от офицера в сумме 1 р. 50 коп. до солдата по копейке с человека. В последующем штраф брался лишь с тех, которые были вместе куда-то посланы.</w:t>
      </w:r>
    </w:p>
    <w:p w:rsidR="00351E64" w:rsidRDefault="00351E64" w:rsidP="00351E64">
      <w:pPr>
        <w:pStyle w:val="a3"/>
        <w:jc w:val="both"/>
      </w:pPr>
      <w:r>
        <w:t> </w:t>
      </w:r>
    </w:p>
    <w:p w:rsidR="00351E64" w:rsidRDefault="00351E64" w:rsidP="00351E64">
      <w:pPr>
        <w:pStyle w:val="a3"/>
        <w:jc w:val="both"/>
      </w:pPr>
      <w:r>
        <w:t xml:space="preserve">Взиманием штрафов с населения широко пользовалась церковь, беря их как с нарушителей, так и поручителей за них. Штрафы могли уплачиваться не только деньгами, но и "другими </w:t>
      </w:r>
      <w:proofErr w:type="spellStart"/>
      <w:r>
        <w:t>вещьми</w:t>
      </w:r>
      <w:proofErr w:type="spellEnd"/>
      <w:r>
        <w:t>". Невозможность уплатить штраф влекла посылку мужчин на галеры, верфи, женщин в мануфактуры или прядильные дворы, а согласно Указу от 30 сентября 1765 г., использование в казенной и полицейской работе в течение двух недель при содержании на хлебе и воде. За крестьян штрафы взыскивались с их помещиков, а за государственных крестьян - с казначеев и старост. В случае смерти виновных штраф брался с наследников</w:t>
      </w:r>
      <w:hyperlink r:id="rId73" w:anchor="71" w:history="1">
        <w:r>
          <w:rPr>
            <w:rStyle w:val="a5"/>
          </w:rPr>
          <w:t>71</w:t>
        </w:r>
      </w:hyperlink>
      <w:r>
        <w:t xml:space="preserve">. </w:t>
      </w:r>
      <w:r>
        <w:lastRenderedPageBreak/>
        <w:t>Более серьезные преступления наряду с уголовным наказанием сопровождались конфискацией имущества.</w:t>
      </w:r>
    </w:p>
    <w:p w:rsidR="00351E64" w:rsidRDefault="00351E64" w:rsidP="00351E64">
      <w:pPr>
        <w:pStyle w:val="a3"/>
        <w:jc w:val="both"/>
      </w:pPr>
      <w:r>
        <w:t> </w:t>
      </w:r>
    </w:p>
    <w:p w:rsidR="00351E64" w:rsidRDefault="00351E64" w:rsidP="00351E64">
      <w:pPr>
        <w:pStyle w:val="a3"/>
        <w:jc w:val="both"/>
      </w:pPr>
      <w:r>
        <w:t>По Уложению о наказаниях уголовных и исправительных от 15 августа 1845 г., различали штрафы, поступающие в казну, и пени, поступающие на улучшение мест заключения</w:t>
      </w:r>
      <w:hyperlink r:id="rId74" w:anchor="72" w:history="1">
        <w:r>
          <w:rPr>
            <w:rStyle w:val="a5"/>
            <w:vertAlign w:val="superscript"/>
          </w:rPr>
          <w:t>72</w:t>
        </w:r>
      </w:hyperlink>
      <w:r>
        <w:t>. Суммы, не имеющие специального назначения, т.е. когда в Уложении или в особом законе не было конкретно указано, в какое место или ведомство они должны быть переданы, обращались в доход государственного казначейства; а по Уставу о наказаниях 1885 г. - в земский по каждой губернии капитал для устройства арестных домов. Специальные же назначения взысканий за отдельные нарушения представлялись весьма разнообразными; в некоторых случаях часть взысканий поступала доносителям и открывателям.</w:t>
      </w:r>
    </w:p>
    <w:p w:rsidR="00351E64" w:rsidRDefault="00351E64" w:rsidP="00351E64">
      <w:pPr>
        <w:pStyle w:val="a3"/>
        <w:jc w:val="both"/>
      </w:pPr>
      <w:r>
        <w:t> </w:t>
      </w:r>
    </w:p>
    <w:p w:rsidR="00351E64" w:rsidRDefault="00351E64" w:rsidP="00351E64">
      <w:pPr>
        <w:pStyle w:val="a3"/>
        <w:jc w:val="both"/>
      </w:pPr>
      <w:r>
        <w:t>Редакционная комиссия при составлении Уголовного уложения от 22 марта 1903 г. сохранила систему наказаний Уложения 1845 г. Последним родом главных (основных) наказаний по ст. 2 Уголовного уложения 1903 г. являлись денежные пени. Уложение предусматривало назначение пени не только как основное, но и как дополнительное наказание, например, при злоупотреблениях в акционерных обществах, подделке карт, а в особенности при нарушении акцизных уставов. Денежное взыскание составляло такое же наказание, как и пеня, и не считалось вознаграждением за вред и убытки. Денежная пеня, для которой не было установлено особого назначения (например, за нарушение правил об охоте - в особый капитал Министерства Внутренних Дел; за нарушение лесного закона в землях казачьего войска - в войсковой капитал; за нарушение правил о церковных свечах - в распоряжение епархиального начальства т.п.), всегда обращалась на устройство мест заключений.</w:t>
      </w:r>
    </w:p>
    <w:p w:rsidR="00351E64" w:rsidRDefault="00351E64" w:rsidP="00351E64">
      <w:pPr>
        <w:pStyle w:val="a3"/>
        <w:jc w:val="both"/>
      </w:pPr>
      <w:r>
        <w:t> </w:t>
      </w:r>
    </w:p>
    <w:p w:rsidR="00351E64" w:rsidRDefault="00351E64" w:rsidP="00351E64">
      <w:pPr>
        <w:pStyle w:val="a3"/>
        <w:jc w:val="both"/>
      </w:pPr>
      <w:r>
        <w:t>Размер денежного взыскания по Уложению 1903 г. определялся двояко: или в виде строго определенной законом суммы, или по указанному в законе основанию исчисления, например по размеру действительно причиненного или предполагаемого убытка казне, или же по размеру прибыли, полученной виновным (исчисление по количеству беспошлинно провезенных товаров, бесконтрольно или тайно выкуренного спирта и т.д.), или по продолжительности нарушения (например, при нарушении постановлений о паспортах); в этих случаях взыскания могли достигать весьма значительных размеров.</w:t>
      </w:r>
    </w:p>
    <w:p w:rsidR="00351E64" w:rsidRDefault="00351E64" w:rsidP="00351E64">
      <w:pPr>
        <w:pStyle w:val="a3"/>
        <w:jc w:val="both"/>
      </w:pPr>
      <w:r>
        <w:t> </w:t>
      </w:r>
    </w:p>
    <w:p w:rsidR="00351E64" w:rsidRDefault="00351E64" w:rsidP="00351E64">
      <w:pPr>
        <w:pStyle w:val="a3"/>
        <w:jc w:val="both"/>
      </w:pPr>
      <w:r>
        <w:t>Денежные пени назначались или отдельно, или параллельно с арестом, или, в исключительных случаях, совместно с последним, а еще чаще с тюрьмой, представляя тогда особый вид кумулятивных наказаний. Таковы, например, тюрьма + пеня до 1 тыс. руб. по ст. 260 Уложения 1903 г. (распространение на бирже ложных слухов). Денежная пеня в тех случаях, когда размер ее был точно установлен в законе, всегда определялась только высшим ее пределом - 25 руб., 50, 100, но низший ее предел будет 50 коп., так как по ст. 24 Уложения 1903 г. пеня определялась рублями и полтинами</w:t>
      </w:r>
      <w:hyperlink r:id="rId75" w:anchor="73" w:history="1">
        <w:r>
          <w:rPr>
            <w:rStyle w:val="a5"/>
          </w:rPr>
          <w:t>73</w:t>
        </w:r>
      </w:hyperlink>
      <w:r>
        <w:t>; так что нельзя было назначать пени в 25 коп. или в 75 коп.; но в тех случаях, когда высший размер пени свыше 100 руб., низший ее размер не мог быть менее 10 руб.; обыкновенный размер определенной законом пени не превышал 500 руб., но в некоторых случаях денежная пеня назначалась в размере 1500 и даже 3000 руб.</w:t>
      </w:r>
    </w:p>
    <w:p w:rsidR="00351E64" w:rsidRDefault="00351E64" w:rsidP="00351E64">
      <w:pPr>
        <w:pStyle w:val="a3"/>
        <w:jc w:val="both"/>
      </w:pPr>
      <w:r>
        <w:lastRenderedPageBreak/>
        <w:t> </w:t>
      </w:r>
    </w:p>
    <w:p w:rsidR="00351E64" w:rsidRDefault="00351E64" w:rsidP="00351E64">
      <w:pPr>
        <w:pStyle w:val="a3"/>
        <w:jc w:val="both"/>
      </w:pPr>
      <w:r>
        <w:t>При параллельной угрозе арестом и пеней в законе также было установлено такое соотношение: угроза однонедельным арестом приравнивалась 25 руб. пени; двухнедельным - 50 руб., угроза одним месяцем ареста - 100 руб., тремя месяцами - 300 руб., шестью месяцами - 500 руб. Суд, назначая денежную пеню, мог отсрочить ее уплату или рассрочить таковую на время, однако не свыше одного года со дня вступления приговора в законную силу. Сходное правило существовало и в Уложении о наказаниях уголовных и исправительных 1845 г., но только относительно дел, подсудных мировым судьям и земским начальникам. В случае отсутствия у виновного каких-либо наличных средств для внесения присужденной с него денежной суммы уплата могла быть рассрочена на определенные сроки, в зависимости от суммы взыскания и способов уплаты; при этом закон оставлял не разъясненным, кем могла быть определена эта рассрочка и даже на какой срок.</w:t>
      </w:r>
    </w:p>
    <w:p w:rsidR="00351E64" w:rsidRDefault="00351E64" w:rsidP="00351E64">
      <w:pPr>
        <w:pStyle w:val="a3"/>
        <w:jc w:val="both"/>
      </w:pPr>
      <w:r>
        <w:t> </w:t>
      </w:r>
    </w:p>
    <w:p w:rsidR="00351E64" w:rsidRDefault="00351E64" w:rsidP="00351E64">
      <w:pPr>
        <w:pStyle w:val="a3"/>
        <w:jc w:val="both"/>
      </w:pPr>
      <w:r>
        <w:t xml:space="preserve">По Уложению 1903 г. это правило получило большую определенность, так как отсрочка и рассрочка применялись не только единолично судьями, но и коллегиально; они определялись судом при постановлении приговора, и притом на время не свыше одного года со для вступления приговора в законную силу. Уплата пени могла быть произведена немедленно после постановления приговора или после вступления его в силу, но, во всяком случае, не позже одного месяца после этого, если же пеня отсрочена или рассрочена, то она или надлежащая часть ее должны быть внесены не позже наступления дня отсрочки или рассрочки. Эти правила относились ко всем случаям назначения денежной пени по Уложению 1903 г. Устанавливая денежную пеню, закон предусматривал и те случаи, когда приговоренный оказывался несостоятельным к уплате таковой. По Уложению о наказаниях 1845 г. это наказание заменялось задержанием, причем установили такую соразмерность, что при взыскании первых 20 руб. день заключения засчитывался в 50 </w:t>
      </w:r>
      <w:proofErr w:type="gramStart"/>
      <w:r>
        <w:t>коп.,</w:t>
      </w:r>
      <w:proofErr w:type="gramEnd"/>
      <w:r>
        <w:t xml:space="preserve"> за следующие - от 20 до 50 руб. - в 75 коп., а за всю остальную сумму - по рублю, так что, например, взыскание в 300 руб. считалось равным 11 месяцам лишения свободы. Задержание, во всяком случае, не должно было превышать шести лет; отбывалось это наказание в тюрьмах.</w:t>
      </w:r>
    </w:p>
    <w:p w:rsidR="00351E64" w:rsidRDefault="00351E64" w:rsidP="00351E64">
      <w:pPr>
        <w:pStyle w:val="a3"/>
        <w:jc w:val="both"/>
      </w:pPr>
      <w:r>
        <w:t> </w:t>
      </w:r>
    </w:p>
    <w:p w:rsidR="00351E64" w:rsidRDefault="00351E64" w:rsidP="00351E64">
      <w:pPr>
        <w:pStyle w:val="a3"/>
        <w:jc w:val="both"/>
      </w:pPr>
      <w:r>
        <w:t>С изданием судебных уставов в эту систему были введены два изменения: с одной стороны, для денежных взысканий до 300 руб. была допущена замена не тюрьмой, а арестом, а с другой - возвышена ценность дня заключения. Таким образом, по Уложению и Уставу о наказаниях издания 1885 г. денежное взыскание заменялось лишением свободы следующим образом: до 15 руб. - до 3 дней; от 15 - 300 руб. - до 3 мес. ареста; 300 - 900 руб. - до 4 мес.; 300 - 2 тыс. руб. - до 6 мес.; 2 - 10 тыс. руб. - до 1 года; 10-30 тыс. руб. - до 2 лет; 30 - 60 тыс. руб. - до 3 лет; 60 - 100 тыс. руб. - до 4 лет; свыше 100 тыс. руб. - до 5 лет тюрьмы.</w:t>
      </w:r>
    </w:p>
    <w:p w:rsidR="00351E64" w:rsidRDefault="00351E64" w:rsidP="00351E64">
      <w:pPr>
        <w:pStyle w:val="a3"/>
        <w:jc w:val="both"/>
      </w:pPr>
      <w:r>
        <w:t> </w:t>
      </w:r>
    </w:p>
    <w:p w:rsidR="00351E64" w:rsidRDefault="00351E64" w:rsidP="00351E64">
      <w:pPr>
        <w:pStyle w:val="a3"/>
        <w:jc w:val="both"/>
      </w:pPr>
      <w:r>
        <w:t>Кроме ареста, закон предусматривал и другой вид замены денежных взысканий для несостоятельных: несостоятельные крестьяне и мещане могли быть отданы в общественные работы или же в заработки; такая же отдача допускалась и для лиц прочих сословий, но лишь в случае выраженной ими о том просьбы. Замена денежного взыскания арестом или работами вполне зависела от усмотрения судебного места. При этом по отношению к крестьянам выбор самого рода заработков не мог быть определен судом, а зависел от общества, с которым в этих случаях судья и должен был войти в сношение.</w:t>
      </w:r>
    </w:p>
    <w:p w:rsidR="00351E64" w:rsidRDefault="00351E64" w:rsidP="00351E64">
      <w:pPr>
        <w:pStyle w:val="a3"/>
        <w:jc w:val="both"/>
      </w:pPr>
      <w:r>
        <w:lastRenderedPageBreak/>
        <w:t> </w:t>
      </w:r>
    </w:p>
    <w:p w:rsidR="00351E64" w:rsidRDefault="00351E64" w:rsidP="00351E64">
      <w:pPr>
        <w:pStyle w:val="a3"/>
        <w:jc w:val="both"/>
      </w:pPr>
      <w:r>
        <w:t xml:space="preserve">Но и это соотношение пени и ареста в 1903 г. было признано </w:t>
      </w:r>
      <w:proofErr w:type="spellStart"/>
      <w:proofErr w:type="gramStart"/>
      <w:r>
        <w:t>несоответствен-ным</w:t>
      </w:r>
      <w:proofErr w:type="spellEnd"/>
      <w:proofErr w:type="gramEnd"/>
      <w:r>
        <w:t xml:space="preserve">, в особенности замена взыскания тюрьмой, на том основании, "что это наказание имеет свои определенные задачи, обусловливающие предполагаемую в тюрьме дисциплину и порядок содержания; всею </w:t>
      </w:r>
      <w:proofErr w:type="spellStart"/>
      <w:r>
        <w:t>постановкою</w:t>
      </w:r>
      <w:proofErr w:type="spellEnd"/>
      <w:r>
        <w:t xml:space="preserve"> своею она направляется к каре проступков, вызываемых буйною или корыстною волею, требующею обуздания и тяжкого урока. Между тем, наиболее крупные денежные взыскания назначаются за нарушение уставов казенных управлений, т.е. собственно за неисполнение гражданских обязательств, поставленное под санкцию уголовной угрозы; применение тюремного заключения к таким действиям вызвало бы очевидное несоответствие между преступлением и наказанием"</w:t>
      </w:r>
      <w:hyperlink r:id="rId76" w:anchor="74" w:history="1">
        <w:r>
          <w:rPr>
            <w:rStyle w:val="a5"/>
            <w:vertAlign w:val="superscript"/>
          </w:rPr>
          <w:t>74</w:t>
        </w:r>
      </w:hyperlink>
      <w:r>
        <w:t>. Уголовным уложением 1903 г. была принята следующая схема: пеня до 25 руб. - арест до одной недели; от 25 - 100 руб. - арест от одной недели до одного месяца; от 100 - 500 руб. - арест от одного до трех месяцев; от 500 - 1000 руб. - арест от трех до шести месяцев; свыше 1000 руб. - арест от 6 месяцев до 1 года; так что при этой замене размер лишения свободы не устанавливался с полной определенностью, а закон указывал только пределы. Объяснительная записка говорила по этому поводу: установление постоянного точного соотношения между суммой взыскания и числом дней заключения с принятием за основание простой или удвоенной ценности рабочего дня представляется комиссии неверным. Возрастание интенсивности наказания лишением свободы идет вовсе не в той пропорции, в какой возрастает тяжесть денежных взысканий; с другой стороны, и преступность, определяющая срок лишения свободы при замене денежных взысканий, зависит не от одного только объема вреда, но и от степени опасности воли, от свойства побуждений и т.д., так что и в этом отношении формальное равновесие было бы несправедливо</w:t>
      </w:r>
      <w:hyperlink r:id="rId77" w:anchor="75" w:history="1">
        <w:r>
          <w:rPr>
            <w:rStyle w:val="a5"/>
          </w:rPr>
          <w:t>75</w:t>
        </w:r>
      </w:hyperlink>
      <w:r>
        <w:t>.</w:t>
      </w:r>
    </w:p>
    <w:p w:rsidR="00351E64" w:rsidRDefault="00351E64" w:rsidP="00351E64">
      <w:pPr>
        <w:pStyle w:val="a3"/>
        <w:jc w:val="both"/>
      </w:pPr>
      <w:r>
        <w:t> </w:t>
      </w:r>
    </w:p>
    <w:p w:rsidR="00351E64" w:rsidRDefault="00351E64" w:rsidP="00351E64">
      <w:pPr>
        <w:pStyle w:val="a3"/>
        <w:jc w:val="both"/>
      </w:pPr>
      <w:r>
        <w:t>Замена пени работой в Уложении 1903 г. не была сохранена, несмотря на приводимые в пользу таковой теоретические соображения, так как практика указала крайнюю затруднительность как устройства этих работ, так и назначения на них через местные общества. Лица, которым денежные взыскания были заменены арестом, освобождались после внесения части денежного взыскания, соразмерной остающемуся сроку заключения или работ, в случае же уплаты ими меньшей части наложенного на них взыскания, срок ареста уменьшался; при таком уменьшении арест засчитывался в соразмерности, установленной приговором суда. Эти правила о замене относились прежде всего к денежной пене, а в особо указанных случаях - и к денежным взысканиям; но они не распространялись на взыскания, определявшиеся в вознаграждение за вред и убытки; на взыскания, наложенные административными и казенными управлениями за подведомственные им нарушения уставов.</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lastRenderedPageBreak/>
        <w:t xml:space="preserve">СИСТЕМА ИСТОЧНИКОВ ГРАЖДАНСКОГО ПРОЦЕССУАЛЬНОГО ПРАВА РОССИЙСКОЙ ФЕДЕРАЦИИ </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 xml:space="preserve">Я.Ф. </w:t>
      </w:r>
      <w:proofErr w:type="spellStart"/>
      <w:r w:rsidRPr="00351E64">
        <w:rPr>
          <w:rFonts w:ascii="Times New Roman" w:eastAsia="Times New Roman" w:hAnsi="Times New Roman" w:cs="Times New Roman"/>
          <w:b/>
          <w:bCs/>
          <w:sz w:val="24"/>
          <w:szCs w:val="24"/>
          <w:lang w:eastAsia="ru-RU"/>
        </w:rPr>
        <w:t>Фархтдинов</w:t>
      </w:r>
      <w:proofErr w:type="spellEnd"/>
      <w:r w:rsidRPr="00351E64">
        <w:rPr>
          <w:rFonts w:ascii="Times New Roman" w:eastAsia="Times New Roman" w:hAnsi="Times New Roman" w:cs="Times New Roman"/>
          <w:b/>
          <w:bCs/>
          <w:sz w:val="24"/>
          <w:szCs w:val="24"/>
          <w:lang w:eastAsia="ru-RU"/>
        </w:rPr>
        <w:t xml:space="preserve">, </w:t>
      </w:r>
      <w:proofErr w:type="spellStart"/>
      <w:r w:rsidRPr="00351E64">
        <w:rPr>
          <w:rFonts w:ascii="Times New Roman" w:eastAsia="Times New Roman" w:hAnsi="Times New Roman" w:cs="Times New Roman"/>
          <w:b/>
          <w:bCs/>
          <w:sz w:val="24"/>
          <w:szCs w:val="24"/>
          <w:lang w:eastAsia="ru-RU"/>
        </w:rPr>
        <w:t>к.ю.н</w:t>
      </w:r>
      <w:proofErr w:type="spellEnd"/>
      <w:r w:rsidRPr="00351E64">
        <w:rPr>
          <w:rFonts w:ascii="Times New Roman" w:eastAsia="Times New Roman" w:hAnsi="Times New Roman" w:cs="Times New Roman"/>
          <w:b/>
          <w:bCs/>
          <w:sz w:val="24"/>
          <w:szCs w:val="24"/>
          <w:lang w:eastAsia="ru-RU"/>
        </w:rPr>
        <w:t xml:space="preserve">., доцент </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Под системой в научной литературе принято понимать множество элементов, находящихся в отношениях и связях между собой, которое образует определенную целостность, единство. Это целое, составленное из частей, взаимосвязанных между собой, определенный порядок их расположения</w:t>
      </w:r>
      <w:hyperlink r:id="rId78" w:anchor="76" w:history="1">
        <w:r w:rsidRPr="00351E64">
          <w:rPr>
            <w:rFonts w:ascii="Times New Roman" w:eastAsia="Times New Roman" w:hAnsi="Times New Roman" w:cs="Times New Roman"/>
            <w:color w:val="0000FF"/>
            <w:sz w:val="24"/>
            <w:szCs w:val="24"/>
            <w:u w:val="single"/>
            <w:vertAlign w:val="superscript"/>
            <w:lang w:eastAsia="ru-RU"/>
          </w:rPr>
          <w:t>76</w:t>
        </w:r>
      </w:hyperlink>
      <w:r w:rsidRPr="00351E64">
        <w:rPr>
          <w:rFonts w:ascii="Times New Roman" w:eastAsia="Times New Roman" w:hAnsi="Times New Roman" w:cs="Times New Roman"/>
          <w:sz w:val="24"/>
          <w:szCs w:val="24"/>
          <w:lang w:eastAsia="ru-RU"/>
        </w:rPr>
        <w:t>. Системность присуща всем явлениям общественного мира, в том числе и социальным. Право также представляет собой весьма сложную социальную систему</w:t>
      </w:r>
      <w:hyperlink r:id="rId79" w:anchor="77" w:history="1">
        <w:r w:rsidRPr="00351E64">
          <w:rPr>
            <w:rFonts w:ascii="Times New Roman" w:eastAsia="Times New Roman" w:hAnsi="Times New Roman" w:cs="Times New Roman"/>
            <w:color w:val="0000FF"/>
            <w:sz w:val="24"/>
            <w:szCs w:val="24"/>
            <w:u w:val="single"/>
            <w:vertAlign w:val="superscript"/>
            <w:lang w:eastAsia="ru-RU"/>
          </w:rPr>
          <w:t>77</w:t>
        </w:r>
      </w:hyperlink>
      <w:r w:rsidRPr="00351E64">
        <w:rPr>
          <w:rFonts w:ascii="Times New Roman" w:eastAsia="Times New Roman" w:hAnsi="Times New Roman" w:cs="Times New Roman"/>
          <w:sz w:val="24"/>
          <w:szCs w:val="24"/>
          <w:lang w:eastAsia="ru-RU"/>
        </w:rPr>
        <w:t>. Известно, что в ходе исторического развертывания юридической формы отдельные правовые нормы группируются в каждой стране в структурированную совокупность, образующую целую правовую систему</w:t>
      </w:r>
      <w:hyperlink r:id="rId80" w:anchor="78" w:history="1">
        <w:r w:rsidRPr="00351E64">
          <w:rPr>
            <w:rFonts w:ascii="Times New Roman" w:eastAsia="Times New Roman" w:hAnsi="Times New Roman" w:cs="Times New Roman"/>
            <w:color w:val="0000FF"/>
            <w:sz w:val="24"/>
            <w:szCs w:val="24"/>
            <w:u w:val="single"/>
            <w:vertAlign w:val="superscript"/>
            <w:lang w:eastAsia="ru-RU"/>
          </w:rPr>
          <w:t>78</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Система права, как и любая система, предполагает элементы содержания, находящиеся в такой взаимосвязи, которая сама влияет на характер и функции каждого элемента. Поэтому система правовых норм нуждается в изучении с учетом всех институтов данной отрасли и всей правовой системы в целом. Источники права как форма его высшего выражения и существования также состоят из определенных элементов</w:t>
      </w:r>
      <w:hyperlink r:id="rId81" w:anchor="79" w:history="1">
        <w:r w:rsidRPr="00351E64">
          <w:rPr>
            <w:rFonts w:ascii="Times New Roman" w:eastAsia="Times New Roman" w:hAnsi="Times New Roman" w:cs="Times New Roman"/>
            <w:color w:val="0000FF"/>
            <w:sz w:val="24"/>
            <w:szCs w:val="24"/>
            <w:u w:val="single"/>
            <w:vertAlign w:val="superscript"/>
            <w:lang w:eastAsia="ru-RU"/>
          </w:rPr>
          <w:t>79</w:t>
        </w:r>
      </w:hyperlink>
      <w:r w:rsidRPr="00351E64">
        <w:rPr>
          <w:rFonts w:ascii="Times New Roman" w:eastAsia="Times New Roman" w:hAnsi="Times New Roman" w:cs="Times New Roman"/>
          <w:sz w:val="24"/>
          <w:szCs w:val="24"/>
          <w:lang w:eastAsia="ru-RU"/>
        </w:rPr>
        <w:t>, находящихся в такой взаимосвязи между собой, которая образует внутреннее единство и целостность. Системные связи существуют также между отраслями общей правовой системы, их источниками, между отраслью права и ее источниками как по горизонтали, так и по вертикали.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Это означает, что законодатель должен при установлении нового нормативного акта достаточно ясно представлять, как будет этот акт действовать в рамках данной отрасли, его института и данной правовой системы в </w:t>
      </w:r>
      <w:proofErr w:type="gramStart"/>
      <w:r w:rsidRPr="00351E64">
        <w:rPr>
          <w:rFonts w:ascii="Times New Roman" w:eastAsia="Times New Roman" w:hAnsi="Times New Roman" w:cs="Times New Roman"/>
          <w:sz w:val="24"/>
          <w:szCs w:val="24"/>
          <w:lang w:eastAsia="ru-RU"/>
        </w:rPr>
        <w:t>целом..</w:t>
      </w:r>
      <w:proofErr w:type="gramEnd"/>
      <w:r w:rsidRPr="00351E64">
        <w:rPr>
          <w:rFonts w:ascii="Times New Roman" w:eastAsia="Times New Roman" w:hAnsi="Times New Roman" w:cs="Times New Roman"/>
          <w:sz w:val="24"/>
          <w:szCs w:val="24"/>
          <w:lang w:eastAsia="ru-RU"/>
        </w:rPr>
        <w:t xml:space="preserve"> Таким образом, система является как бы формой, способом реального сосуществования всех источников права, и, кроме того, для исследователя ключом (инструментом) познания их сущности и бытия. Исследователь добьется успеха лишь в том случае, если он изучает нормы и институты данной отрасли с учетом всей правовой системы, расположение их в тех или иных нормативных актах, уровень их систематизации и так далее.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Очень важно при этом помнить, что система источников права имеет в своей основе определенную правовую систему данного государства. Система источников права является высшим выражением системы права. Однако их совпадение не является абсолютным. По мнению многих ученых, систему права следует отличать от системы законодательства, так как система права является первичной, а система законодательства - вторичной. Первая характеризует внутреннее строение права, группировку его норм по отраслям и институтам, вторая относится к внешним формам выражения права, характеризует состояние источников права</w:t>
      </w:r>
      <w:hyperlink r:id="rId82" w:anchor="80" w:history="1">
        <w:r w:rsidRPr="00351E64">
          <w:rPr>
            <w:rFonts w:ascii="Times New Roman" w:eastAsia="Times New Roman" w:hAnsi="Times New Roman" w:cs="Times New Roman"/>
            <w:color w:val="0000FF"/>
            <w:sz w:val="24"/>
            <w:szCs w:val="24"/>
            <w:u w:val="single"/>
            <w:vertAlign w:val="superscript"/>
            <w:lang w:eastAsia="ru-RU"/>
          </w:rPr>
          <w:t>80</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Система законодательства объединяет законы, указы Президента, подзаконные нормативные акты, постановления правительства, инструкции и т.п., являющиеся источниками права, в их совокупности и во взаимосвязи. Изложенные общетеоретические положения о соотношении системы права с системой его источников (законодательства) вполне приемлемы и для изучения проблемы системы отрасли права и системы ее источников. Исходя из общетеоретических положений, мы полагаем, что система гражданского процессуального права служит базой, фундаментом для формирования системы источников гражданского процессуального права (законодательства). Система гражданского процессуального права объективно требует, чтобы его источники были систематизированы по отраслевой принадлежности, по отраслевому признаку, а нормы отрасли права и ее институты объединялись в один кодифицированный акт. Успешное исследование сущности, содержания источников гражданского процессуального права невозможно без установления их взаимосвязей с системой гражданского процессуального права, их взаимодействия, взаимообусловленности между собой, их внутреннего строения, так как право и его источники выступают как единство содержания и формы.</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Изучение источников гражданского процессуального права, в свою очередь, также нуждается в использовании метода системности, как средства познания соответствующего объекта</w:t>
      </w:r>
      <w:hyperlink r:id="rId83" w:anchor="81" w:history="1">
        <w:r w:rsidRPr="00351E64">
          <w:rPr>
            <w:rFonts w:ascii="Times New Roman" w:eastAsia="Times New Roman" w:hAnsi="Times New Roman" w:cs="Times New Roman"/>
            <w:color w:val="0000FF"/>
            <w:sz w:val="24"/>
            <w:szCs w:val="24"/>
            <w:u w:val="single"/>
            <w:lang w:eastAsia="ru-RU"/>
          </w:rPr>
          <w:t>81</w:t>
        </w:r>
      </w:hyperlink>
      <w:r w:rsidRPr="00351E64">
        <w:rPr>
          <w:rFonts w:ascii="Times New Roman" w:eastAsia="Times New Roman" w:hAnsi="Times New Roman" w:cs="Times New Roman"/>
          <w:sz w:val="24"/>
          <w:szCs w:val="24"/>
          <w:lang w:eastAsia="ru-RU"/>
        </w:rPr>
        <w:t>. В науке гражданского процессуального права дано несколько определений системы гражданского процессуального права. Так, по мнению В.М. Семенова, система гражданского процессуального права - это совокупность норм и институтов данной отрасли права, обусловленная характером предмета правового регулирования: процессуальными действиями и отношениями субъектов процесса в их взаимосвязи и строгой последовательности</w:t>
      </w:r>
      <w:hyperlink r:id="rId84" w:anchor="82" w:history="1">
        <w:r w:rsidRPr="00351E64">
          <w:rPr>
            <w:rFonts w:ascii="Times New Roman" w:eastAsia="Times New Roman" w:hAnsi="Times New Roman" w:cs="Times New Roman"/>
            <w:color w:val="0000FF"/>
            <w:sz w:val="24"/>
            <w:szCs w:val="24"/>
            <w:u w:val="single"/>
            <w:vertAlign w:val="superscript"/>
            <w:lang w:eastAsia="ru-RU"/>
          </w:rPr>
          <w:t>82</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Было также высказано мнение о том, что система советского гражданского процессуального права определяется совокупностью общесоюзных и республиканских гражданских процессуальных норм, регулирующих правосудие по гражданским делам и обеспечивающих выполнение задач советского гражданского судопроизводства</w:t>
      </w:r>
      <w:hyperlink r:id="rId85" w:anchor="83" w:history="1">
        <w:r w:rsidRPr="00351E64">
          <w:rPr>
            <w:rFonts w:ascii="Times New Roman" w:eastAsia="Times New Roman" w:hAnsi="Times New Roman" w:cs="Times New Roman"/>
            <w:color w:val="0000FF"/>
            <w:sz w:val="24"/>
            <w:szCs w:val="24"/>
            <w:u w:val="single"/>
            <w:vertAlign w:val="superscript"/>
            <w:lang w:eastAsia="ru-RU"/>
          </w:rPr>
          <w:t>83</w:t>
        </w:r>
      </w:hyperlink>
      <w:r w:rsidRPr="00351E64">
        <w:rPr>
          <w:rFonts w:ascii="Times New Roman" w:eastAsia="Times New Roman" w:hAnsi="Times New Roman" w:cs="Times New Roman"/>
          <w:sz w:val="24"/>
          <w:szCs w:val="24"/>
          <w:lang w:eastAsia="ru-RU"/>
        </w:rPr>
        <w:t xml:space="preserve">. Данная точка зрения не получила широкой поддержки в науке гражданского процессуального права. Идея о системе гражданского процессуального права как о совокупности процессуальных норм и институтов в их взаимосвязи и в строгой последовательности </w:t>
      </w:r>
      <w:hyperlink r:id="rId86" w:anchor="84" w:history="1">
        <w:r w:rsidRPr="00351E64">
          <w:rPr>
            <w:rFonts w:ascii="Times New Roman" w:eastAsia="Times New Roman" w:hAnsi="Times New Roman" w:cs="Times New Roman"/>
            <w:color w:val="0000FF"/>
            <w:sz w:val="24"/>
            <w:szCs w:val="24"/>
            <w:u w:val="single"/>
            <w:vertAlign w:val="superscript"/>
            <w:lang w:eastAsia="ru-RU"/>
          </w:rPr>
          <w:t>84</w:t>
        </w:r>
      </w:hyperlink>
      <w:r w:rsidRPr="00351E64">
        <w:rPr>
          <w:rFonts w:ascii="Times New Roman" w:eastAsia="Times New Roman" w:hAnsi="Times New Roman" w:cs="Times New Roman"/>
          <w:sz w:val="24"/>
          <w:szCs w:val="24"/>
          <w:lang w:eastAsia="ru-RU"/>
        </w:rPr>
        <w:t>достаточно широко распространена в специальной литературе</w:t>
      </w:r>
      <w:hyperlink r:id="rId87" w:anchor="85" w:history="1">
        <w:r w:rsidRPr="00351E64">
          <w:rPr>
            <w:rFonts w:ascii="Times New Roman" w:eastAsia="Times New Roman" w:hAnsi="Times New Roman" w:cs="Times New Roman"/>
            <w:color w:val="0000FF"/>
            <w:sz w:val="24"/>
            <w:szCs w:val="24"/>
            <w:u w:val="single"/>
            <w:vertAlign w:val="superscript"/>
            <w:lang w:eastAsia="ru-RU"/>
          </w:rPr>
          <w:t>85</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Наиболее полным из определений, отражающих специфику отрасли права в литературе относительно понятия гражданского процессуального права, на наш взгляд, является определение В.М. Шерстюка, в соответствии с которым "система гражданского процессуального права - это обусловленная единством гражданских процессуальных отношений внутренне согласованная совокупность гражданских процессуальных норм, институтов и других относительно самостоятельных структурных подразделений этой отрасли права, закономерно взаимосвязанных между собой"</w:t>
      </w:r>
      <w:hyperlink r:id="rId88" w:anchor="87" w:history="1">
        <w:r w:rsidRPr="00351E64">
          <w:rPr>
            <w:rFonts w:ascii="Times New Roman" w:eastAsia="Times New Roman" w:hAnsi="Times New Roman" w:cs="Times New Roman"/>
            <w:color w:val="0000FF"/>
            <w:sz w:val="24"/>
            <w:szCs w:val="24"/>
            <w:u w:val="single"/>
            <w:vertAlign w:val="superscript"/>
            <w:lang w:eastAsia="ru-RU"/>
          </w:rPr>
          <w:t>87</w:t>
        </w:r>
      </w:hyperlink>
      <w:r w:rsidRPr="00351E64">
        <w:rPr>
          <w:rFonts w:ascii="Times New Roman" w:eastAsia="Times New Roman" w:hAnsi="Times New Roman" w:cs="Times New Roman"/>
          <w:sz w:val="24"/>
          <w:szCs w:val="24"/>
          <w:lang w:eastAsia="ru-RU"/>
        </w:rPr>
        <w:t xml:space="preserve">. В этом определении охвачены практически все наиболее существенные элементы системы отрасли права (единство отношений, внутренняя согласованность, взаимная связь, структурированная система, наличие относительно основательных подразделений, их целостность). Недостатком в определении является отсутствие указания на строгую последовательность </w:t>
      </w:r>
      <w:r w:rsidRPr="00351E64">
        <w:rPr>
          <w:rFonts w:ascii="Times New Roman" w:eastAsia="Times New Roman" w:hAnsi="Times New Roman" w:cs="Times New Roman"/>
          <w:sz w:val="24"/>
          <w:szCs w:val="24"/>
          <w:lang w:eastAsia="ru-RU"/>
        </w:rPr>
        <w:lastRenderedPageBreak/>
        <w:t>норм, что представляет особенность норм гражданского процессуального права, обусловленную предметом регулирования.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Поскольку источники гражданского процессуального права - это, в основном, нормативно-правовые акты Российского государства, в форме которых выражаются гражданские процессуальные нормы, то понятие системы источников права адекватно понятию системы гражданского процессуального законодательства. Система гражданского процессуального законодательства не копирует систему гражданского процессуального права. На необходимость четкого разграничения системы гражданского процессуального права от системы одноименного законодательства обратила внимание Н.А. Чечина</w:t>
      </w:r>
      <w:hyperlink r:id="rId89" w:anchor="88" w:history="1">
        <w:r w:rsidRPr="00351E64">
          <w:rPr>
            <w:rFonts w:ascii="Times New Roman" w:eastAsia="Times New Roman" w:hAnsi="Times New Roman" w:cs="Times New Roman"/>
            <w:color w:val="0000FF"/>
            <w:sz w:val="24"/>
            <w:szCs w:val="24"/>
            <w:u w:val="single"/>
            <w:vertAlign w:val="superscript"/>
            <w:lang w:eastAsia="ru-RU"/>
          </w:rPr>
          <w:t>88</w:t>
        </w:r>
      </w:hyperlink>
      <w:r w:rsidRPr="00351E64">
        <w:rPr>
          <w:rFonts w:ascii="Times New Roman" w:eastAsia="Times New Roman" w:hAnsi="Times New Roman" w:cs="Times New Roman"/>
          <w:sz w:val="24"/>
          <w:szCs w:val="24"/>
          <w:lang w:eastAsia="ru-RU"/>
        </w:rPr>
        <w:t>. Система законодательства - явление объективного порядка, своего рода "второе измерение" права, хотя оно, как и право, обладает единством и органической целостностью. Единство выражается в предмете правового регулирования.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Все источники гражданского процессуального права содержат нормы, регулирующие отношения суда общей юрисдикции с другими участниками процесса, возникающие в связи с осуществлением правосудия по гражданским делам. Но они - "второе измерение", состоящее из документов, представляющих источники права. В отличие от системы гражданского процессуального права система одноименного законодательства имеет относительно самостоятельный многомерный и многоуровневый характер. Источники гражданского процессуального права представляют собой различные по правовой силе, форме и сфере действия, но связанные между собой содержанием (предметом правового регулирования) правовые акты. Предмет правового регулирования (правосудие по гражданским делам) является одним из главных системообразующих факторов при построении системы источников гражданского процессуального права.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 этому основанию в состав источников гражданского процессуального права войдут как гражданское процессуальное законодательство (ГПК и другие отраслевые нормативные акты), так и нормативные акты комплексные, содержащие нормы различных отраслей права, а также акты, принадлежащие другим отраслям права, содержащие отдельные нормы о гражданском судопроизводстве. Важным элементом системы источников гражданского процессуального права является существование между нормами, составляющими их содержание, логических, содержательных и структурных связей и согласованность этих норм. Согласованность необходима не только в структуре отдельного нормативного акта, но и между самими нормативными актами.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Так, в период перестройки в 90-х годах и после резко повысилась творческая активность различных органов власти, и очень важно, чтобы все принимаемые акты и каждый отдельно взятый нормативный акт четко вписывались в существующую систему. Целостность, органическое единство системы источников гражданского процессуального права, однако, не исключает ее внутренней дифференциации на относительно самостоятельные подразделения. Так, гражданский процессуальный кодекс РСФСР структурно состоит из 6-ти разделов, 42-х глав и 438-ми статей. При делении на крупные или более мелкие подразделения законодателем приняты во внимание различные правообразующие факторы, </w:t>
      </w:r>
      <w:r w:rsidRPr="00351E64">
        <w:rPr>
          <w:rFonts w:ascii="Times New Roman" w:eastAsia="Times New Roman" w:hAnsi="Times New Roman" w:cs="Times New Roman"/>
          <w:sz w:val="24"/>
          <w:szCs w:val="24"/>
          <w:lang w:eastAsia="ru-RU"/>
        </w:rPr>
        <w:lastRenderedPageBreak/>
        <w:t>учтены значение и место правовых норм в системе права, выполняемые ими функции, последовательность возникновения процессуальных отношений, связи между правовыми нормами, их объединение в соответствующие институты.</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Система источников гражданского процессуального права, как и любая система, имеет свой специфический состав, обусловленный природой отношений, являющихся предметом регулирования. Так, в соответствии с п.0 ст.71 Конституции Российской Федерации гражданское процессуальное законодательство находится в ведении Российской Федерации, что повлияло на федеративную структуру законодательства. Участие суда в процессуальных отношениях также играет значительную роль в формировании системы законодательства и его структуры.</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общей теории права система законодательства определяется как совокупность нормативно-правовых актов, в которых объективируются внутренние содержательные и структурные характеристики права</w:t>
      </w:r>
      <w:hyperlink r:id="rId90" w:anchor="89" w:history="1">
        <w:r w:rsidRPr="00351E64">
          <w:rPr>
            <w:rFonts w:ascii="Times New Roman" w:eastAsia="Times New Roman" w:hAnsi="Times New Roman" w:cs="Times New Roman"/>
            <w:color w:val="0000FF"/>
            <w:sz w:val="24"/>
            <w:szCs w:val="24"/>
            <w:u w:val="single"/>
            <w:vertAlign w:val="superscript"/>
            <w:lang w:eastAsia="ru-RU"/>
          </w:rPr>
          <w:t>89</w:t>
        </w:r>
      </w:hyperlink>
      <w:r w:rsidRPr="00351E64">
        <w:rPr>
          <w:rFonts w:ascii="Times New Roman" w:eastAsia="Times New Roman" w:hAnsi="Times New Roman" w:cs="Times New Roman"/>
          <w:sz w:val="24"/>
          <w:szCs w:val="24"/>
          <w:lang w:eastAsia="ru-RU"/>
        </w:rPr>
        <w:t xml:space="preserve">. На наш взгляд, слово "совокупность" не четко выражает смысл сказанного. В юридической литературе высказано мнение, что система законодательства представляет собой систему нормативных актов, их </w:t>
      </w:r>
      <w:proofErr w:type="spellStart"/>
      <w:r w:rsidRPr="00351E64">
        <w:rPr>
          <w:rFonts w:ascii="Times New Roman" w:eastAsia="Times New Roman" w:hAnsi="Times New Roman" w:cs="Times New Roman"/>
          <w:sz w:val="24"/>
          <w:szCs w:val="24"/>
          <w:lang w:eastAsia="ru-RU"/>
        </w:rPr>
        <w:t>расчленность</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дифференциированность</w:t>
      </w:r>
      <w:proofErr w:type="spellEnd"/>
      <w:r w:rsidRPr="00351E64">
        <w:rPr>
          <w:rFonts w:ascii="Times New Roman" w:eastAsia="Times New Roman" w:hAnsi="Times New Roman" w:cs="Times New Roman"/>
          <w:sz w:val="24"/>
          <w:szCs w:val="24"/>
          <w:lang w:eastAsia="ru-RU"/>
        </w:rPr>
        <w:t>, их иерархическое построение, связанное отношениями координации, субординации и соподчиненности</w:t>
      </w:r>
      <w:hyperlink r:id="rId91" w:anchor="90" w:history="1">
        <w:r w:rsidRPr="00351E64">
          <w:rPr>
            <w:rFonts w:ascii="Times New Roman" w:eastAsia="Times New Roman" w:hAnsi="Times New Roman" w:cs="Times New Roman"/>
            <w:color w:val="0000FF"/>
            <w:sz w:val="24"/>
            <w:szCs w:val="24"/>
            <w:u w:val="single"/>
            <w:vertAlign w:val="superscript"/>
            <w:lang w:eastAsia="ru-RU"/>
          </w:rPr>
          <w:t>90</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Отраслевые системы законодательства должны объединить нормативные правовые акты, соответственно содержащие нормы, регулирующие однородные общественные отношения по предмету, относящиеся к той или иной отрасли права. Система источников гражданского процессуального права обусловлена предметом регулирования норм данной отрасли права. Это система нормативно-правовых актов, в которых объективируются гражданские процессуальные нормы, характеризующиеся своим специфическим содержанием, внутренним единством, своей внутренней структурой и строгой последовательностью.</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Система источников гражданского процессуального законодательства представляет организованную многозвенную структуру, состоящую из большого числа взаимосвязанных звеньев. В формировании системы источников гражданского процессуального права значительную роль играют объективные факторы: общественные отношения, нуждающиеся в правовом регулировании. Так, проводимая в России правовая и судебная реформы привели к значительному обновлению гражданского процесса путем дополнения гражданского процессуального права новыми нормами и институтами. Изменения в системе права получили внешнее выражение в системе законодательства, ГПК и в других законах. Кроме того, гражданское процессуальное законодательство потому и может быть охарактеризовано как система, что оно является внешним выражением объективно существующей системы права. Система гражданского процессуального права, о чем уже было сказано, находит отражение в структуре Гражданского процессуального кодекса (общие нормы и институты, специальные нормы, деление процесса на стадии, виды судопроизводства). Система права объективно влияет на структуру ГПК. Попытка нарушить эту закономерность привела бы к затруднениям в толковании норм права в правоприменительной деятельности суда.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Разумеется, указывая на объективный характер системы источников гражданского процессуального права, нельзя упускать из вида ее субъективную сторону. Состав действующих нормативных актов, их внутренняя компоновка и, тем более, обособление отдельных нормативных предписаний непосредственно зависят от усмотрения правотворческих органов. Законодатель в одних случаях вправе выполнить задачу по правовому регулированию процессуальных отношений в форме издания отдельного нормативного акта, а в других - путем дополнения существующего акта законодательства. В любом случае система источников гражданского процессуального права складывается в результате закрепления правовых норм в официальных актах и систематизации этих актов. В научной литературе отмечается, что законы и подзаконные нормативные акты в совокупности можно </w:t>
      </w:r>
      <w:proofErr w:type="gramStart"/>
      <w:r w:rsidRPr="00351E64">
        <w:rPr>
          <w:rFonts w:ascii="Times New Roman" w:eastAsia="Times New Roman" w:hAnsi="Times New Roman" w:cs="Times New Roman"/>
          <w:sz w:val="24"/>
          <w:szCs w:val="24"/>
          <w:lang w:eastAsia="ru-RU"/>
        </w:rPr>
        <w:t>представить</w:t>
      </w:r>
      <w:proofErr w:type="gramEnd"/>
      <w:r w:rsidRPr="00351E64">
        <w:rPr>
          <w:rFonts w:ascii="Times New Roman" w:eastAsia="Times New Roman" w:hAnsi="Times New Roman" w:cs="Times New Roman"/>
          <w:sz w:val="24"/>
          <w:szCs w:val="24"/>
          <w:lang w:eastAsia="ru-RU"/>
        </w:rPr>
        <w:t xml:space="preserve"> как структурно сложную, динамическую систему, состоящую из большого числа взаимосвязанных звеньев; подчеркивается также многомерный характер данной системы</w:t>
      </w:r>
      <w:hyperlink r:id="rId92" w:anchor="91" w:history="1">
        <w:r w:rsidRPr="00351E64">
          <w:rPr>
            <w:rFonts w:ascii="Times New Roman" w:eastAsia="Times New Roman" w:hAnsi="Times New Roman" w:cs="Times New Roman"/>
            <w:color w:val="0000FF"/>
            <w:sz w:val="24"/>
            <w:szCs w:val="24"/>
            <w:u w:val="single"/>
            <w:vertAlign w:val="superscript"/>
            <w:lang w:eastAsia="ru-RU"/>
          </w:rPr>
          <w:t>91</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зависимости от оснований (критериев) принято выделять различные срезы (горизонтальный, вертикальный, федеративный и комплексный) системы законодательства. Система гражданского процессуального законодательства как система источников гражданского процессуального права также имеет многоуровневую сложную структуру. Однако на систему гражданского процессуального законодательства влияет отнесение (п. 0 ст. 71 Конституции РФ) гражданского процессуального законодательства к ведению Российской Федерации. Субъекты Российской Федерации не вправе принимать законы, регулирующие гражданское судопроизводство. Таким образом, систематизация гражданского процессуального законодательства и ее классификация по федеративному критерию исключаются. Рассмотрим горизонтальную, вертикальную и комплексную структуры системы гражданского процессуального законодательства.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Горизонтальное строение (плоскость, срез, структура) системы законодательства в науке связывают с делением системы права на отрасли. По данному критерию вычленяются отрасли законодательства, в основном соответствующие отрасли права и не соответствующие каким-либо его подразделениям</w:t>
      </w:r>
      <w:hyperlink r:id="rId93" w:anchor="92" w:history="1">
        <w:r w:rsidRPr="00351E64">
          <w:rPr>
            <w:rFonts w:ascii="Times New Roman" w:eastAsia="Times New Roman" w:hAnsi="Times New Roman" w:cs="Times New Roman"/>
            <w:color w:val="0000FF"/>
            <w:sz w:val="24"/>
            <w:szCs w:val="24"/>
            <w:u w:val="single"/>
            <w:vertAlign w:val="superscript"/>
            <w:lang w:eastAsia="ru-RU"/>
          </w:rPr>
          <w:t>92</w:t>
        </w:r>
      </w:hyperlink>
      <w:r w:rsidRPr="00351E64">
        <w:rPr>
          <w:rFonts w:ascii="Times New Roman" w:eastAsia="Times New Roman" w:hAnsi="Times New Roman" w:cs="Times New Roman"/>
          <w:sz w:val="24"/>
          <w:szCs w:val="24"/>
          <w:lang w:eastAsia="ru-RU"/>
        </w:rPr>
        <w:t>. По мнению Алексеева С.С., горизонтальная плоскость - это как раз та плоскость, которая наиболее близка к структуре права. Именно в данной плоскости можно различать отрасли законодательства</w:t>
      </w:r>
      <w:hyperlink r:id="rId94" w:anchor="93" w:history="1">
        <w:r w:rsidRPr="00351E64">
          <w:rPr>
            <w:rFonts w:ascii="Times New Roman" w:eastAsia="Times New Roman" w:hAnsi="Times New Roman" w:cs="Times New Roman"/>
            <w:color w:val="0000FF"/>
            <w:sz w:val="24"/>
            <w:szCs w:val="24"/>
            <w:u w:val="single"/>
            <w:vertAlign w:val="superscript"/>
            <w:lang w:eastAsia="ru-RU"/>
          </w:rPr>
          <w:t>93</w:t>
        </w:r>
      </w:hyperlink>
      <w:r w:rsidRPr="00351E64">
        <w:rPr>
          <w:rFonts w:ascii="Times New Roman" w:eastAsia="Times New Roman" w:hAnsi="Times New Roman" w:cs="Times New Roman"/>
          <w:sz w:val="24"/>
          <w:szCs w:val="24"/>
          <w:lang w:eastAsia="ru-RU"/>
        </w:rPr>
        <w:t>. К системе законодательства, рассматриваемой в данной плоскости, соответствующей отрасли гражданского процессуального права, относится и система источников гражданского процессуального права.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Система гражданского процессуального </w:t>
      </w:r>
      <w:proofErr w:type="gramStart"/>
      <w:r w:rsidRPr="00351E64">
        <w:rPr>
          <w:rFonts w:ascii="Times New Roman" w:eastAsia="Times New Roman" w:hAnsi="Times New Roman" w:cs="Times New Roman"/>
          <w:sz w:val="24"/>
          <w:szCs w:val="24"/>
          <w:lang w:eastAsia="ru-RU"/>
        </w:rPr>
        <w:t>права</w:t>
      </w:r>
      <w:proofErr w:type="gramEnd"/>
      <w:r w:rsidRPr="00351E64">
        <w:rPr>
          <w:rFonts w:ascii="Times New Roman" w:eastAsia="Times New Roman" w:hAnsi="Times New Roman" w:cs="Times New Roman"/>
          <w:sz w:val="24"/>
          <w:szCs w:val="24"/>
          <w:lang w:eastAsia="ru-RU"/>
        </w:rPr>
        <w:t xml:space="preserve"> как и всякая система обладает определенным набором подсистем (элементов). В состав системы гражданского процессуального права входят ее структурные элементы и подразделения: нормы, институты, их объединения и другие подразделения, взаимодействие которых и обеспечивает ее качественные особенности, специфику этой отрасли права</w:t>
      </w:r>
      <w:hyperlink r:id="rId95" w:anchor="94" w:history="1">
        <w:r w:rsidRPr="00351E64">
          <w:rPr>
            <w:rFonts w:ascii="Times New Roman" w:eastAsia="Times New Roman" w:hAnsi="Times New Roman" w:cs="Times New Roman"/>
            <w:color w:val="0000FF"/>
            <w:sz w:val="24"/>
            <w:szCs w:val="24"/>
            <w:u w:val="single"/>
            <w:vertAlign w:val="superscript"/>
            <w:lang w:eastAsia="ru-RU"/>
          </w:rPr>
          <w:t>94</w:t>
        </w:r>
      </w:hyperlink>
      <w:r w:rsidRPr="00351E64">
        <w:rPr>
          <w:rFonts w:ascii="Times New Roman" w:eastAsia="Times New Roman" w:hAnsi="Times New Roman" w:cs="Times New Roman"/>
          <w:sz w:val="24"/>
          <w:szCs w:val="24"/>
          <w:lang w:eastAsia="ru-RU"/>
        </w:rPr>
        <w:t xml:space="preserve">. Какова же система гражданского процессуального законодательства в горизонтальной плоскости? По мнению Н.А. </w:t>
      </w:r>
      <w:proofErr w:type="spellStart"/>
      <w:r w:rsidRPr="00351E64">
        <w:rPr>
          <w:rFonts w:ascii="Times New Roman" w:eastAsia="Times New Roman" w:hAnsi="Times New Roman" w:cs="Times New Roman"/>
          <w:sz w:val="24"/>
          <w:szCs w:val="24"/>
          <w:lang w:eastAsia="ru-RU"/>
        </w:rPr>
        <w:t>Чечиной</w:t>
      </w:r>
      <w:proofErr w:type="spellEnd"/>
      <w:r w:rsidRPr="00351E64">
        <w:rPr>
          <w:rFonts w:ascii="Times New Roman" w:eastAsia="Times New Roman" w:hAnsi="Times New Roman" w:cs="Times New Roman"/>
          <w:sz w:val="24"/>
          <w:szCs w:val="24"/>
          <w:lang w:eastAsia="ru-RU"/>
        </w:rPr>
        <w:t xml:space="preserve">, структурным элементом системы гражданского процессуального права является норма права, а системы законодательства - правовой акт. "Правовой акт группирует уже </w:t>
      </w:r>
      <w:r w:rsidRPr="00351E64">
        <w:rPr>
          <w:rFonts w:ascii="Times New Roman" w:eastAsia="Times New Roman" w:hAnsi="Times New Roman" w:cs="Times New Roman"/>
          <w:sz w:val="24"/>
          <w:szCs w:val="24"/>
          <w:lang w:eastAsia="ru-RU"/>
        </w:rPr>
        <w:lastRenderedPageBreak/>
        <w:t>существующие нормы права, потому система права первична"</w:t>
      </w:r>
      <w:hyperlink r:id="rId96" w:anchor="95" w:history="1">
        <w:r w:rsidRPr="00351E64">
          <w:rPr>
            <w:rFonts w:ascii="Times New Roman" w:eastAsia="Times New Roman" w:hAnsi="Times New Roman" w:cs="Times New Roman"/>
            <w:color w:val="0000FF"/>
            <w:sz w:val="24"/>
            <w:szCs w:val="24"/>
            <w:u w:val="single"/>
            <w:vertAlign w:val="superscript"/>
            <w:lang w:eastAsia="ru-RU"/>
          </w:rPr>
          <w:t>95</w:t>
        </w:r>
      </w:hyperlink>
      <w:r w:rsidRPr="00351E64">
        <w:rPr>
          <w:rFonts w:ascii="Times New Roman" w:eastAsia="Times New Roman" w:hAnsi="Times New Roman" w:cs="Times New Roman"/>
          <w:sz w:val="24"/>
          <w:szCs w:val="24"/>
          <w:lang w:eastAsia="ru-RU"/>
        </w:rPr>
        <w:t>. Такое утверждение является спорным. Если согласиться с высказанной точкой зрения, то ГПК и будет первичным структурным элементом системы гражданского процессуального законодательства.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Об элементах горизонтальной системы законодательства в теории права существуют различные точки зрения. Так, </w:t>
      </w:r>
      <w:proofErr w:type="spellStart"/>
      <w:r w:rsidRPr="00351E64">
        <w:rPr>
          <w:rFonts w:ascii="Times New Roman" w:eastAsia="Times New Roman" w:hAnsi="Times New Roman" w:cs="Times New Roman"/>
          <w:sz w:val="24"/>
          <w:szCs w:val="24"/>
          <w:lang w:eastAsia="ru-RU"/>
        </w:rPr>
        <w:t>Поленина</w:t>
      </w:r>
      <w:proofErr w:type="spellEnd"/>
      <w:r w:rsidRPr="00351E64">
        <w:rPr>
          <w:rFonts w:ascii="Times New Roman" w:eastAsia="Times New Roman" w:hAnsi="Times New Roman" w:cs="Times New Roman"/>
          <w:sz w:val="24"/>
          <w:szCs w:val="24"/>
          <w:lang w:eastAsia="ru-RU"/>
        </w:rPr>
        <w:t xml:space="preserve"> С.В. полагает, что минимальным компонентом системы права служит норма права, а системы законодательства - нормативный акт, хотя она не отрицает формирование структуры законодательства под непосредственным воздействием права. Точка зрения </w:t>
      </w:r>
      <w:proofErr w:type="spellStart"/>
      <w:r w:rsidRPr="00351E64">
        <w:rPr>
          <w:rFonts w:ascii="Times New Roman" w:eastAsia="Times New Roman" w:hAnsi="Times New Roman" w:cs="Times New Roman"/>
          <w:sz w:val="24"/>
          <w:szCs w:val="24"/>
          <w:lang w:eastAsia="ru-RU"/>
        </w:rPr>
        <w:t>Чечиной</w:t>
      </w:r>
      <w:proofErr w:type="spellEnd"/>
      <w:r w:rsidRPr="00351E64">
        <w:rPr>
          <w:rFonts w:ascii="Times New Roman" w:eastAsia="Times New Roman" w:hAnsi="Times New Roman" w:cs="Times New Roman"/>
          <w:sz w:val="24"/>
          <w:szCs w:val="24"/>
          <w:lang w:eastAsia="ru-RU"/>
        </w:rPr>
        <w:t xml:space="preserve"> Н.А. совпадает с мнением </w:t>
      </w:r>
      <w:proofErr w:type="spellStart"/>
      <w:r w:rsidRPr="00351E64">
        <w:rPr>
          <w:rFonts w:ascii="Times New Roman" w:eastAsia="Times New Roman" w:hAnsi="Times New Roman" w:cs="Times New Roman"/>
          <w:sz w:val="24"/>
          <w:szCs w:val="24"/>
          <w:lang w:eastAsia="ru-RU"/>
        </w:rPr>
        <w:t>Полениной</w:t>
      </w:r>
      <w:proofErr w:type="spellEnd"/>
      <w:r w:rsidRPr="00351E64">
        <w:rPr>
          <w:rFonts w:ascii="Times New Roman" w:eastAsia="Times New Roman" w:hAnsi="Times New Roman" w:cs="Times New Roman"/>
          <w:sz w:val="24"/>
          <w:szCs w:val="24"/>
          <w:lang w:eastAsia="ru-RU"/>
        </w:rPr>
        <w:t xml:space="preserve"> С.В. Высказано также другое мнение о том, что в качестве основных элементов горизонтальной структуры законодательства (в порядке перехода от частного к общему) взаимодействуют институты и отрасли законодательства. В этом случае институт, являющийся объединением взаимосвязанных правовых норм, оказывается первичным элементом системы законодательства</w:t>
      </w:r>
      <w:hyperlink r:id="rId97" w:anchor="96" w:history="1">
        <w:r w:rsidRPr="00351E64">
          <w:rPr>
            <w:rFonts w:ascii="Times New Roman" w:eastAsia="Times New Roman" w:hAnsi="Times New Roman" w:cs="Times New Roman"/>
            <w:color w:val="0000FF"/>
            <w:sz w:val="24"/>
            <w:szCs w:val="24"/>
            <w:u w:val="single"/>
            <w:vertAlign w:val="superscript"/>
            <w:lang w:eastAsia="ru-RU"/>
          </w:rPr>
          <w:t>96</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Иного взгляда на данную проблему придерживается Алексеев С.С., по мнению которого первичным подразделением горизонтальной структуры законодательства является нормативно-правовое предписание. Алексеев С.С. утверждает, что нормативное предписание есть "первичное подразделение, живая клеточка" правовой системы. Правовые институты, из которых складываются отрасли, состоят из разнообразных нормативных предписаний. "Под нормативными предписаниями следует понимать элементарное, цельное, логически завершенное государственно-властное веление нормативного характера, непосредственно выраженное в тексте нормативного юридического акта"</w:t>
      </w:r>
      <w:hyperlink r:id="rId98" w:anchor="97" w:history="1">
        <w:r w:rsidRPr="00351E64">
          <w:rPr>
            <w:rFonts w:ascii="Times New Roman" w:eastAsia="Times New Roman" w:hAnsi="Times New Roman" w:cs="Times New Roman"/>
            <w:color w:val="0000FF"/>
            <w:sz w:val="24"/>
            <w:szCs w:val="24"/>
            <w:u w:val="single"/>
            <w:vertAlign w:val="superscript"/>
            <w:lang w:eastAsia="ru-RU"/>
          </w:rPr>
          <w:t>97</w:t>
        </w:r>
      </w:hyperlink>
      <w:r w:rsidRPr="00351E64">
        <w:rPr>
          <w:rFonts w:ascii="Times New Roman" w:eastAsia="Times New Roman" w:hAnsi="Times New Roman" w:cs="Times New Roman"/>
          <w:sz w:val="24"/>
          <w:szCs w:val="24"/>
          <w:lang w:eastAsia="ru-RU"/>
        </w:rPr>
        <w:t>. Данную точку зрения разделяет автор настоящей работы по следующим мотивам.</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Горизонтальная система источников гражданского процессуального законодательства, каковыми являются в основном нормативно-правовые акты, соответствует системе гражданского процессуального права. Следовательно, деление системы права на структурные элементы (норма права, институты, их объединения не препятствуют, а служат основанием для выявления в системе законодательства одноименных структурных подразделений. В этом проявляется органическое единство содержания внешней формы в гражданском процессуальном праве. Нормативно-правовое предписание является внешней формой выражения правовой нормы как содержания. Норма-предписание, в отличие от правовой нормы, состоящей из гипотезы, диспозиции и санкции, представляет элементарную (усеченную) норму, с которой совпадает исходная единица правового текста. Так, в ст.114 ГПК РСФСР (в редакции от 7.08.2000 г. о гражданских делах, подсудных районному суду) установлено, что гражданские дела, подведомственные судам (за исключением дел, предусмотренных ст. 113, ст.114-116 настоящего Кодекса), рассматриваются районным судом. В данном случае в тексте ст. 114 содержится не логическая (завершенная) норма, а специализированная норма-предписание, выраженная в виде части одной статьи, т.к. в данной статье в ч. 2 содержится другая норма-предписание.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xml:space="preserve">Норма-предписание, содержащаяся в системе статьи, и есть, на наш взгляд, первичный элемент горизонтальной системы источников гражданского процессуального права. Суд, осуществляя свою деятельность по рассмотрению и разрешению гражданских дел, получает необходимую информацию путем ознакомления с текстом соответствующей статьи, состоящей из норм-предписаний. Нормативные предписания сами объединяются в институты, а последние - в более крупные подразделения и в конечном счете формируют отрасль законодательства. Институты гражданского процессуального законодательства являются объединениями норм-предписаний, законодательно обособленных и обеспечивающих законченное регулирование однородных и </w:t>
      </w:r>
      <w:proofErr w:type="spellStart"/>
      <w:r w:rsidRPr="00351E64">
        <w:rPr>
          <w:rFonts w:ascii="Times New Roman" w:eastAsia="Times New Roman" w:hAnsi="Times New Roman" w:cs="Times New Roman"/>
          <w:sz w:val="24"/>
          <w:szCs w:val="24"/>
          <w:lang w:eastAsia="ru-RU"/>
        </w:rPr>
        <w:t>однопорядковых</w:t>
      </w:r>
      <w:proofErr w:type="spellEnd"/>
      <w:r w:rsidRPr="00351E64">
        <w:rPr>
          <w:rFonts w:ascii="Times New Roman" w:eastAsia="Times New Roman" w:hAnsi="Times New Roman" w:cs="Times New Roman"/>
          <w:sz w:val="24"/>
          <w:szCs w:val="24"/>
          <w:lang w:eastAsia="ru-RU"/>
        </w:rPr>
        <w:t xml:space="preserve"> гражданских процессуальных отношений. Все институты гражданского процессуального законодательства соответствуют институтам гражданского процессуального права. Внешне они закреплены в ГПК в виде глав.</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науке гражданского процессуального права уже указывалось на данное обстоятельство. Так, по мнению Шерстюка В.М., институт отрасли имеет свою специфическую внешнюю форму; "обращается внимание и на то, что почти все институты гражданского процессуального права закреплены в виде самостоятельных глав ГПК: гл. 4 (лица, участвующие в деле), гл. 5 (представительство в суде), гл. 6 (доказательства) и так далее</w:t>
      </w:r>
      <w:hyperlink r:id="rId99" w:anchor="98" w:history="1">
        <w:r w:rsidRPr="00351E64">
          <w:rPr>
            <w:rFonts w:ascii="Times New Roman" w:eastAsia="Times New Roman" w:hAnsi="Times New Roman" w:cs="Times New Roman"/>
            <w:color w:val="0000FF"/>
            <w:sz w:val="24"/>
            <w:szCs w:val="24"/>
            <w:u w:val="single"/>
            <w:vertAlign w:val="superscript"/>
            <w:lang w:eastAsia="ru-RU"/>
          </w:rPr>
          <w:t>98</w:t>
        </w:r>
      </w:hyperlink>
      <w:r w:rsidRPr="00351E64">
        <w:rPr>
          <w:rFonts w:ascii="Times New Roman" w:eastAsia="Times New Roman" w:hAnsi="Times New Roman" w:cs="Times New Roman"/>
          <w:sz w:val="24"/>
          <w:szCs w:val="24"/>
          <w:lang w:eastAsia="ru-RU"/>
        </w:rPr>
        <w:t>. По нашему мнению, если институт гражданского процессуального права объединяет определенную группу правовых норм, законченно регулирующих однородных процессуальных отношений, то форма выражения этих институтов и их внешняя формализованная обособленность в законе являются свидетельством существования вторичного образования - институтов отрасли законодательства, соответствующих институтам отрасли права.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Заметим, что институты гражданского процессуального законодательства имеют определенную автономность. Например, институт "Судебные расходы" в законодательстве внешне закреплен в ГПК (гл.7), в Законе РФ (О государственной пошлине), в Инструкции государственной налоговой службы РФ (О порядке применения Закона РФ о государственной пошлине от 15.05.1996 г. в редакции на 19.02.1999 г.) и Инструкцией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утвержденной Постановлением Совета Министров РСФСР от 14.07.1990 г. (с изменением на 2 марта 1993 г.)</w:t>
      </w:r>
      <w:hyperlink r:id="rId100" w:anchor="99" w:history="1">
        <w:r w:rsidRPr="00351E64">
          <w:rPr>
            <w:rFonts w:ascii="Times New Roman" w:eastAsia="Times New Roman" w:hAnsi="Times New Roman" w:cs="Times New Roman"/>
            <w:color w:val="0000FF"/>
            <w:sz w:val="24"/>
            <w:szCs w:val="24"/>
            <w:u w:val="single"/>
            <w:vertAlign w:val="superscript"/>
            <w:lang w:eastAsia="ru-RU"/>
          </w:rPr>
          <w:t>99</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отличие от правового института, являющегося объединением норм, всесторонне законченно регулирующих процессуальные отношения (о судебных расходах), институт законодательства является объединением норм-предписаний, внешне закрепленных в одном нормативном акте или в нормативных актах различной юридической силы, различного уровня воздействия на регулируемые общественные отношения.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Выделение институтов гражданского процессуального законодательства позволяет сделать ряд выводов, имеющих значение для анализа его структуры как внешней формы данной отрасли права. Прежде всего - это вывод об идентичности институтов права и институтов </w:t>
      </w:r>
      <w:r w:rsidRPr="00351E64">
        <w:rPr>
          <w:rFonts w:ascii="Times New Roman" w:eastAsia="Times New Roman" w:hAnsi="Times New Roman" w:cs="Times New Roman"/>
          <w:sz w:val="24"/>
          <w:szCs w:val="24"/>
          <w:lang w:eastAsia="ru-RU"/>
        </w:rPr>
        <w:lastRenderedPageBreak/>
        <w:t>законодательства, их относительной самостоятельности. Кроме того, это позволяет выявить состав нормативно-правовых актов, регулирующих гражданские процессуальные отношения, определить их место в системе гражданского процессуального законодательства, определить соответствие их норм-предписаний общим процессуальным нормам, содержащимся в ГПК, и дать рекомендации, направленные на совершенствование гражданского процессуального законодательства.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Следует обратить внимание на еще одно обстоятельство: не все институты в структуре ГПК расположены в соответствии с их значимостью и последовательностью, структура ГПК неполно отражает институты права и законодательства. Чем ближе система законодательства к системе права, тем более полно и последовательно содержание системы норм отрасли права будет зафиксировано в законодательстве.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По мнению Шерстюка В.М., правовые институты входят в отрасль права через системы более высокого уровня - объединениями институтов. К таким объединениям он отнес "исковое производство", "производство по делам, возникающим из административно-правовых отношений", "особое производство" и другие. Он полагает, что эти объединения, занимая самостоятельное положение в системе гражданского процессуального права, также не входят непосредственно в отрасль права. Они являются структурным подразделением одной из ее подсистем - </w:t>
      </w:r>
      <w:proofErr w:type="spellStart"/>
      <w:r w:rsidRPr="00351E64">
        <w:rPr>
          <w:rFonts w:ascii="Times New Roman" w:eastAsia="Times New Roman" w:hAnsi="Times New Roman" w:cs="Times New Roman"/>
          <w:sz w:val="24"/>
          <w:szCs w:val="24"/>
          <w:lang w:eastAsia="ru-RU"/>
        </w:rPr>
        <w:t>подотрасли</w:t>
      </w:r>
      <w:proofErr w:type="spellEnd"/>
      <w:r w:rsidRPr="00351E64">
        <w:rPr>
          <w:rFonts w:ascii="Times New Roman" w:eastAsia="Times New Roman" w:hAnsi="Times New Roman" w:cs="Times New Roman"/>
          <w:sz w:val="24"/>
          <w:szCs w:val="24"/>
          <w:lang w:eastAsia="ru-RU"/>
        </w:rPr>
        <w:t xml:space="preserve"> или правового комплекса. </w:t>
      </w:r>
      <w:proofErr w:type="spellStart"/>
      <w:r w:rsidRPr="00351E64">
        <w:rPr>
          <w:rFonts w:ascii="Times New Roman" w:eastAsia="Times New Roman" w:hAnsi="Times New Roman" w:cs="Times New Roman"/>
          <w:sz w:val="24"/>
          <w:szCs w:val="24"/>
          <w:lang w:eastAsia="ru-RU"/>
        </w:rPr>
        <w:t>Подотрасли</w:t>
      </w:r>
      <w:proofErr w:type="spellEnd"/>
      <w:r w:rsidRPr="00351E64">
        <w:rPr>
          <w:rFonts w:ascii="Times New Roman" w:eastAsia="Times New Roman" w:hAnsi="Times New Roman" w:cs="Times New Roman"/>
          <w:sz w:val="24"/>
          <w:szCs w:val="24"/>
          <w:lang w:eastAsia="ru-RU"/>
        </w:rPr>
        <w:t xml:space="preserve"> - это подразделения наиболее высокого уровня строения гражданского процессуального права, имеющие свой предмет регулирования, непосредственно входящие в отрасль права</w:t>
      </w:r>
      <w:hyperlink r:id="rId101" w:anchor="100" w:history="1">
        <w:r w:rsidRPr="00351E64">
          <w:rPr>
            <w:rFonts w:ascii="Times New Roman" w:eastAsia="Times New Roman" w:hAnsi="Times New Roman" w:cs="Times New Roman"/>
            <w:color w:val="0000FF"/>
            <w:sz w:val="24"/>
            <w:szCs w:val="24"/>
            <w:u w:val="single"/>
            <w:vertAlign w:val="superscript"/>
            <w:lang w:eastAsia="ru-RU"/>
          </w:rPr>
          <w:t>100</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На существование </w:t>
      </w:r>
      <w:proofErr w:type="spellStart"/>
      <w:r w:rsidRPr="00351E64">
        <w:rPr>
          <w:rFonts w:ascii="Times New Roman" w:eastAsia="Times New Roman" w:hAnsi="Times New Roman" w:cs="Times New Roman"/>
          <w:sz w:val="24"/>
          <w:szCs w:val="24"/>
          <w:lang w:eastAsia="ru-RU"/>
        </w:rPr>
        <w:t>подотраслей</w:t>
      </w:r>
      <w:proofErr w:type="spellEnd"/>
      <w:r w:rsidRPr="00351E64">
        <w:rPr>
          <w:rFonts w:ascii="Times New Roman" w:eastAsia="Times New Roman" w:hAnsi="Times New Roman" w:cs="Times New Roman"/>
          <w:sz w:val="24"/>
          <w:szCs w:val="24"/>
          <w:lang w:eastAsia="ru-RU"/>
        </w:rPr>
        <w:t xml:space="preserve"> в системе права неоднократно указывалось в научных исследованиях по проблемам теории права и законодательства</w:t>
      </w:r>
      <w:hyperlink r:id="rId102" w:anchor="101" w:history="1">
        <w:r w:rsidRPr="00351E64">
          <w:rPr>
            <w:rFonts w:ascii="Times New Roman" w:eastAsia="Times New Roman" w:hAnsi="Times New Roman" w:cs="Times New Roman"/>
            <w:color w:val="0000FF"/>
            <w:sz w:val="24"/>
            <w:szCs w:val="24"/>
            <w:u w:val="single"/>
            <w:vertAlign w:val="superscript"/>
            <w:lang w:eastAsia="ru-RU"/>
          </w:rPr>
          <w:t>101</w:t>
        </w:r>
      </w:hyperlink>
      <w:r w:rsidRPr="00351E64">
        <w:rPr>
          <w:rFonts w:ascii="Times New Roman" w:eastAsia="Times New Roman" w:hAnsi="Times New Roman" w:cs="Times New Roman"/>
          <w:sz w:val="24"/>
          <w:szCs w:val="24"/>
          <w:lang w:eastAsia="ru-RU"/>
        </w:rPr>
        <w:t xml:space="preserve">. Отмечалось, что </w:t>
      </w:r>
      <w:proofErr w:type="spellStart"/>
      <w:r w:rsidRPr="00351E64">
        <w:rPr>
          <w:rFonts w:ascii="Times New Roman" w:eastAsia="Times New Roman" w:hAnsi="Times New Roman" w:cs="Times New Roman"/>
          <w:sz w:val="24"/>
          <w:szCs w:val="24"/>
          <w:lang w:eastAsia="ru-RU"/>
        </w:rPr>
        <w:t>подотрасль</w:t>
      </w:r>
      <w:proofErr w:type="spellEnd"/>
      <w:r w:rsidRPr="00351E64">
        <w:rPr>
          <w:rFonts w:ascii="Times New Roman" w:eastAsia="Times New Roman" w:hAnsi="Times New Roman" w:cs="Times New Roman"/>
          <w:sz w:val="24"/>
          <w:szCs w:val="24"/>
          <w:lang w:eastAsia="ru-RU"/>
        </w:rPr>
        <w:t xml:space="preserve"> - это такое объединение институтов, для которых характерна высокая степень специализации, дифференциации и интеграции входящих в его состав правовых общностей. Наиболее яркой чертой </w:t>
      </w:r>
      <w:proofErr w:type="spellStart"/>
      <w:r w:rsidRPr="00351E64">
        <w:rPr>
          <w:rFonts w:ascii="Times New Roman" w:eastAsia="Times New Roman" w:hAnsi="Times New Roman" w:cs="Times New Roman"/>
          <w:sz w:val="24"/>
          <w:szCs w:val="24"/>
          <w:lang w:eastAsia="ru-RU"/>
        </w:rPr>
        <w:t>подотраслей</w:t>
      </w:r>
      <w:proofErr w:type="spellEnd"/>
      <w:r w:rsidRPr="00351E64">
        <w:rPr>
          <w:rFonts w:ascii="Times New Roman" w:eastAsia="Times New Roman" w:hAnsi="Times New Roman" w:cs="Times New Roman"/>
          <w:sz w:val="24"/>
          <w:szCs w:val="24"/>
          <w:lang w:eastAsia="ru-RU"/>
        </w:rPr>
        <w:t xml:space="preserve">, выделяющих их из правовых отраслей, является наличие в составе </w:t>
      </w:r>
      <w:proofErr w:type="spellStart"/>
      <w:r w:rsidRPr="00351E64">
        <w:rPr>
          <w:rFonts w:ascii="Times New Roman" w:eastAsia="Times New Roman" w:hAnsi="Times New Roman" w:cs="Times New Roman"/>
          <w:sz w:val="24"/>
          <w:szCs w:val="24"/>
          <w:lang w:eastAsia="ru-RU"/>
        </w:rPr>
        <w:t>подотрасли</w:t>
      </w:r>
      <w:proofErr w:type="spellEnd"/>
      <w:r w:rsidRPr="00351E64">
        <w:rPr>
          <w:rFonts w:ascii="Times New Roman" w:eastAsia="Times New Roman" w:hAnsi="Times New Roman" w:cs="Times New Roman"/>
          <w:sz w:val="24"/>
          <w:szCs w:val="24"/>
          <w:lang w:eastAsia="ru-RU"/>
        </w:rPr>
        <w:t xml:space="preserve"> общего института или, во всяком случае, ассоциации общих норм</w:t>
      </w:r>
      <w:hyperlink r:id="rId103" w:anchor="102" w:history="1">
        <w:proofErr w:type="gramStart"/>
        <w:r w:rsidRPr="00351E64">
          <w:rPr>
            <w:rFonts w:ascii="Times New Roman" w:eastAsia="Times New Roman" w:hAnsi="Times New Roman" w:cs="Times New Roman"/>
            <w:color w:val="0000FF"/>
            <w:sz w:val="24"/>
            <w:szCs w:val="24"/>
            <w:u w:val="single"/>
            <w:vertAlign w:val="superscript"/>
            <w:lang w:eastAsia="ru-RU"/>
          </w:rPr>
          <w:t>102</w:t>
        </w:r>
      </w:hyperlink>
      <w:r w:rsidRPr="00351E64">
        <w:rPr>
          <w:rFonts w:ascii="Times New Roman" w:eastAsia="Times New Roman" w:hAnsi="Times New Roman" w:cs="Times New Roman"/>
          <w:sz w:val="24"/>
          <w:szCs w:val="24"/>
          <w:lang w:eastAsia="ru-RU"/>
        </w:rPr>
        <w:t xml:space="preserve"> .</w:t>
      </w:r>
      <w:proofErr w:type="gramEnd"/>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качестве </w:t>
      </w:r>
      <w:proofErr w:type="spellStart"/>
      <w:r w:rsidRPr="00351E64">
        <w:rPr>
          <w:rFonts w:ascii="Times New Roman" w:eastAsia="Times New Roman" w:hAnsi="Times New Roman" w:cs="Times New Roman"/>
          <w:sz w:val="24"/>
          <w:szCs w:val="24"/>
          <w:lang w:eastAsia="ru-RU"/>
        </w:rPr>
        <w:t>подотрасли</w:t>
      </w:r>
      <w:proofErr w:type="spellEnd"/>
      <w:r w:rsidRPr="00351E64">
        <w:rPr>
          <w:rFonts w:ascii="Times New Roman" w:eastAsia="Times New Roman" w:hAnsi="Times New Roman" w:cs="Times New Roman"/>
          <w:sz w:val="24"/>
          <w:szCs w:val="24"/>
          <w:lang w:eastAsia="ru-RU"/>
        </w:rPr>
        <w:t xml:space="preserve"> Шерстюк В.М. рассматривает такие правовые (по его мнению) общности как "Производство в суде первой инстанции", "Производство по пересмотру судебных актов". По его мнению, указанные правовые конструкции имеют свои общие положения, состоят из связанных между собой нормативных объединений, имеют также сложный состав компонентов</w:t>
      </w:r>
      <w:hyperlink r:id="rId104" w:anchor="103" w:history="1">
        <w:r w:rsidRPr="00351E64">
          <w:rPr>
            <w:rFonts w:ascii="Times New Roman" w:eastAsia="Times New Roman" w:hAnsi="Times New Roman" w:cs="Times New Roman"/>
            <w:color w:val="0000FF"/>
            <w:sz w:val="24"/>
            <w:szCs w:val="24"/>
            <w:u w:val="single"/>
            <w:vertAlign w:val="superscript"/>
            <w:lang w:eastAsia="ru-RU"/>
          </w:rPr>
          <w:t>103</w:t>
        </w:r>
      </w:hyperlink>
      <w:r w:rsidRPr="00351E64">
        <w:rPr>
          <w:rFonts w:ascii="Times New Roman" w:eastAsia="Times New Roman" w:hAnsi="Times New Roman" w:cs="Times New Roman"/>
          <w:sz w:val="24"/>
          <w:szCs w:val="24"/>
          <w:lang w:eastAsia="ru-RU"/>
        </w:rPr>
        <w:t xml:space="preserve">. С выводами В.М. Шерстюка о существовании объединений институтов и </w:t>
      </w:r>
      <w:proofErr w:type="spellStart"/>
      <w:r w:rsidRPr="00351E64">
        <w:rPr>
          <w:rFonts w:ascii="Times New Roman" w:eastAsia="Times New Roman" w:hAnsi="Times New Roman" w:cs="Times New Roman"/>
          <w:sz w:val="24"/>
          <w:szCs w:val="24"/>
          <w:lang w:eastAsia="ru-RU"/>
        </w:rPr>
        <w:t>подотраслей</w:t>
      </w:r>
      <w:proofErr w:type="spellEnd"/>
      <w:r w:rsidRPr="00351E64">
        <w:rPr>
          <w:rFonts w:ascii="Times New Roman" w:eastAsia="Times New Roman" w:hAnsi="Times New Roman" w:cs="Times New Roman"/>
          <w:sz w:val="24"/>
          <w:szCs w:val="24"/>
          <w:lang w:eastAsia="ru-RU"/>
        </w:rPr>
        <w:t xml:space="preserve"> отрасли гражданского процессуального права в целом можно согласиться. Он правильно указал на объединение норм, регулирующих производство в суде Первой инстанции (раздел II ГПК), как на </w:t>
      </w:r>
      <w:proofErr w:type="spellStart"/>
      <w:r w:rsidRPr="00351E64">
        <w:rPr>
          <w:rFonts w:ascii="Times New Roman" w:eastAsia="Times New Roman" w:hAnsi="Times New Roman" w:cs="Times New Roman"/>
          <w:sz w:val="24"/>
          <w:szCs w:val="24"/>
          <w:lang w:eastAsia="ru-RU"/>
        </w:rPr>
        <w:t>подотрасль</w:t>
      </w:r>
      <w:proofErr w:type="spellEnd"/>
      <w:r w:rsidRPr="00351E64">
        <w:rPr>
          <w:rFonts w:ascii="Times New Roman" w:eastAsia="Times New Roman" w:hAnsi="Times New Roman" w:cs="Times New Roman"/>
          <w:sz w:val="24"/>
          <w:szCs w:val="24"/>
          <w:lang w:eastAsia="ru-RU"/>
        </w:rPr>
        <w:t xml:space="preserve"> права. Данная </w:t>
      </w:r>
      <w:proofErr w:type="spellStart"/>
      <w:r w:rsidRPr="00351E64">
        <w:rPr>
          <w:rFonts w:ascii="Times New Roman" w:eastAsia="Times New Roman" w:hAnsi="Times New Roman" w:cs="Times New Roman"/>
          <w:sz w:val="24"/>
          <w:szCs w:val="24"/>
          <w:lang w:eastAsia="ru-RU"/>
        </w:rPr>
        <w:t>подотрасль</w:t>
      </w:r>
      <w:proofErr w:type="spellEnd"/>
      <w:r w:rsidRPr="00351E64">
        <w:rPr>
          <w:rFonts w:ascii="Times New Roman" w:eastAsia="Times New Roman" w:hAnsi="Times New Roman" w:cs="Times New Roman"/>
          <w:sz w:val="24"/>
          <w:szCs w:val="24"/>
          <w:lang w:eastAsia="ru-RU"/>
        </w:rPr>
        <w:t xml:space="preserve"> права имеет общий предмет - правовое регулирование деятельности суда по защите нарушенных или оспариваемых гражданских прав, свобод и охраняемых законом интересов.</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xml:space="preserve">Как форма реального внешнего выражения объединений институтов и </w:t>
      </w:r>
      <w:proofErr w:type="spellStart"/>
      <w:r w:rsidRPr="00351E64">
        <w:rPr>
          <w:rFonts w:ascii="Times New Roman" w:eastAsia="Times New Roman" w:hAnsi="Times New Roman" w:cs="Times New Roman"/>
          <w:sz w:val="24"/>
          <w:szCs w:val="24"/>
          <w:lang w:eastAsia="ru-RU"/>
        </w:rPr>
        <w:t>подотраслей</w:t>
      </w:r>
      <w:proofErr w:type="spellEnd"/>
      <w:r w:rsidRPr="00351E64">
        <w:rPr>
          <w:rFonts w:ascii="Times New Roman" w:eastAsia="Times New Roman" w:hAnsi="Times New Roman" w:cs="Times New Roman"/>
          <w:sz w:val="24"/>
          <w:szCs w:val="24"/>
          <w:lang w:eastAsia="ru-RU"/>
        </w:rPr>
        <w:t xml:space="preserve"> гражданского процессуального права существуют вторичные адекватные образования - объединения институтов и </w:t>
      </w:r>
      <w:proofErr w:type="spellStart"/>
      <w:r w:rsidRPr="00351E64">
        <w:rPr>
          <w:rFonts w:ascii="Times New Roman" w:eastAsia="Times New Roman" w:hAnsi="Times New Roman" w:cs="Times New Roman"/>
          <w:sz w:val="24"/>
          <w:szCs w:val="24"/>
          <w:lang w:eastAsia="ru-RU"/>
        </w:rPr>
        <w:t>подотрасли</w:t>
      </w:r>
      <w:proofErr w:type="spellEnd"/>
      <w:r w:rsidRPr="00351E64">
        <w:rPr>
          <w:rFonts w:ascii="Times New Roman" w:eastAsia="Times New Roman" w:hAnsi="Times New Roman" w:cs="Times New Roman"/>
          <w:sz w:val="24"/>
          <w:szCs w:val="24"/>
          <w:lang w:eastAsia="ru-RU"/>
        </w:rPr>
        <w:t xml:space="preserve"> гражданского процессуального законодательства. Они достаточно четко выделены в главах, в подразделах и в разделах основного источника права гражданского процессуального кодекса. В разделе II "Производство в суде первой инстанции" обособлены объединения институтов "Исковое производство", "Производство по делам, возникающим из административно-правовых отношений" и "Особое производство". Этот раздел включает также отдельные институты в виде самостоятельных глав: "Судебный приказ, глава 111", "Заочное решение, глава 161". Однако наименования глав неточно выражают суть институтов. Эти институты, по существу, состоят из норм-предписаний о приказном производстве и о заочном производстве. Институт о приказном производстве имеет самостоятельный характер, не входит в объединения институтов, но непосредственно входит в </w:t>
      </w:r>
      <w:proofErr w:type="spellStart"/>
      <w:r w:rsidRPr="00351E64">
        <w:rPr>
          <w:rFonts w:ascii="Times New Roman" w:eastAsia="Times New Roman" w:hAnsi="Times New Roman" w:cs="Times New Roman"/>
          <w:sz w:val="24"/>
          <w:szCs w:val="24"/>
          <w:lang w:eastAsia="ru-RU"/>
        </w:rPr>
        <w:t>подотрасль</w:t>
      </w:r>
      <w:proofErr w:type="spellEnd"/>
      <w:r w:rsidRPr="00351E64">
        <w:rPr>
          <w:rFonts w:ascii="Times New Roman" w:eastAsia="Times New Roman" w:hAnsi="Times New Roman" w:cs="Times New Roman"/>
          <w:sz w:val="24"/>
          <w:szCs w:val="24"/>
          <w:lang w:eastAsia="ru-RU"/>
        </w:rPr>
        <w:t xml:space="preserve"> законодательства "Производство в суде первой инстанции". Институт "О заочном производстве" является частью объединения институтов об исковом производстве.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Заметим, что и в праве, и в законодательстве идет процесс формирования нового института производства дел мировыми судьями. В настоящее время в ГПК закреплены лишь отдельные фрагменты, то есть отдельные нормы-предписания, регулирующие порядок производства мировыми судьями. Это общее предписание (ст. 1, "Законодательство о гражданском судопроизводстве") о том, что гражданское судопроизводство </w:t>
      </w:r>
      <w:proofErr w:type="gramStart"/>
      <w:r w:rsidRPr="00351E64">
        <w:rPr>
          <w:rFonts w:ascii="Times New Roman" w:eastAsia="Times New Roman" w:hAnsi="Times New Roman" w:cs="Times New Roman"/>
          <w:sz w:val="24"/>
          <w:szCs w:val="24"/>
          <w:lang w:eastAsia="ru-RU"/>
        </w:rPr>
        <w:t>у мирового судьи</w:t>
      </w:r>
      <w:proofErr w:type="gramEnd"/>
      <w:r w:rsidRPr="00351E64">
        <w:rPr>
          <w:rFonts w:ascii="Times New Roman" w:eastAsia="Times New Roman" w:hAnsi="Times New Roman" w:cs="Times New Roman"/>
          <w:sz w:val="24"/>
          <w:szCs w:val="24"/>
          <w:lang w:eastAsia="ru-RU"/>
        </w:rPr>
        <w:t xml:space="preserve"> определяется ГПК, ФЗ "О мировых судьях в Российской Федерации" и другими федеральными законами (ст. 113, "О подсудности гражданских дел мировому судье"). Между тем, в Уставе гражданского судопроизводства Российской Империи 1864 года Книга Первая "Порядок производства в мировых судебных установлениях" состояла из 14 глав и 150 статей, достаточно подробно регламентировавших особенности судопроизводства у мировых судей. Несомненно, судебная правоприменительная практика покажет недостаточность правового регулирования в ГПК производства по гражданским делам мировыми судьями и необходимость дополнения кодекса новыми нормами-предписаниями.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1E64">
        <w:rPr>
          <w:rFonts w:ascii="Times New Roman" w:eastAsia="Times New Roman" w:hAnsi="Times New Roman" w:cs="Times New Roman"/>
          <w:sz w:val="24"/>
          <w:szCs w:val="24"/>
          <w:lang w:eastAsia="ru-RU"/>
        </w:rPr>
        <w:t>Подотрасль</w:t>
      </w:r>
      <w:proofErr w:type="spellEnd"/>
      <w:r w:rsidRPr="00351E64">
        <w:rPr>
          <w:rFonts w:ascii="Times New Roman" w:eastAsia="Times New Roman" w:hAnsi="Times New Roman" w:cs="Times New Roman"/>
          <w:sz w:val="24"/>
          <w:szCs w:val="24"/>
          <w:lang w:eastAsia="ru-RU"/>
        </w:rPr>
        <w:t xml:space="preserve"> законодательства "Пересмотр судебных постановлений" так же, как и </w:t>
      </w:r>
      <w:proofErr w:type="spellStart"/>
      <w:r w:rsidRPr="00351E64">
        <w:rPr>
          <w:rFonts w:ascii="Times New Roman" w:eastAsia="Times New Roman" w:hAnsi="Times New Roman" w:cs="Times New Roman"/>
          <w:sz w:val="24"/>
          <w:szCs w:val="24"/>
          <w:lang w:eastAsia="ru-RU"/>
        </w:rPr>
        <w:t>подотрасль</w:t>
      </w:r>
      <w:proofErr w:type="spellEnd"/>
      <w:r w:rsidRPr="00351E64">
        <w:rPr>
          <w:rFonts w:ascii="Times New Roman" w:eastAsia="Times New Roman" w:hAnsi="Times New Roman" w:cs="Times New Roman"/>
          <w:sz w:val="24"/>
          <w:szCs w:val="24"/>
          <w:lang w:eastAsia="ru-RU"/>
        </w:rPr>
        <w:t xml:space="preserve"> права, нельзя считать сформировавшейся, хотя отдельные институты сформировались или находятся в стадии формирования. Так, Федеральным законом от 7 августа 2000 года ГПК дополнили главой 351 "Апелляционное производство по пересмотру решений и определений мировых судей", тем самым внешне закрепили новый институт гражданского процессуального права и институт одноименного законодательства. Для того чтобы институты пересмотра судебных постановлений:</w:t>
      </w:r>
    </w:p>
    <w:p w:rsidR="00351E64" w:rsidRPr="00351E64" w:rsidRDefault="00351E64" w:rsidP="009472CE">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а) в апелляционном порядке (глава 351),</w:t>
      </w:r>
    </w:p>
    <w:p w:rsidR="00351E64" w:rsidRPr="00351E64" w:rsidRDefault="00351E64" w:rsidP="009472CE">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б) в кассационном порядке (глава 35),</w:t>
      </w:r>
    </w:p>
    <w:p w:rsidR="00351E64" w:rsidRPr="00351E64" w:rsidRDefault="00351E64" w:rsidP="009472CE">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в надзорном порядке (глава 36),</w:t>
      </w:r>
    </w:p>
    <w:p w:rsidR="00351E64" w:rsidRPr="00351E64" w:rsidRDefault="00351E64" w:rsidP="009472CE">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г) по вновь открывшимся обстоятельствам (глава 37)</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объединились в одну правовую общность - </w:t>
      </w:r>
      <w:proofErr w:type="spellStart"/>
      <w:r w:rsidRPr="00351E64">
        <w:rPr>
          <w:rFonts w:ascii="Times New Roman" w:eastAsia="Times New Roman" w:hAnsi="Times New Roman" w:cs="Times New Roman"/>
          <w:sz w:val="24"/>
          <w:szCs w:val="24"/>
          <w:lang w:eastAsia="ru-RU"/>
        </w:rPr>
        <w:t>подотрасль</w:t>
      </w:r>
      <w:proofErr w:type="spellEnd"/>
      <w:r w:rsidRPr="00351E64">
        <w:rPr>
          <w:rFonts w:ascii="Times New Roman" w:eastAsia="Times New Roman" w:hAnsi="Times New Roman" w:cs="Times New Roman"/>
          <w:sz w:val="24"/>
          <w:szCs w:val="24"/>
          <w:lang w:eastAsia="ru-RU"/>
        </w:rPr>
        <w:t xml:space="preserve">, необходимо дополнить массив норм-предписаний общими положениями, объединяющими эти институты, и в ГПК </w:t>
      </w:r>
      <w:r w:rsidRPr="00351E64">
        <w:rPr>
          <w:rFonts w:ascii="Times New Roman" w:eastAsia="Times New Roman" w:hAnsi="Times New Roman" w:cs="Times New Roman"/>
          <w:sz w:val="24"/>
          <w:szCs w:val="24"/>
          <w:lang w:eastAsia="ru-RU"/>
        </w:rPr>
        <w:lastRenderedPageBreak/>
        <w:t>предусмотреть соответствующий раздел под названием "Производство по пересмотру судебных постановлений".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Таковы основные черты горизонтальной системы источников гражданского процессуального права. Вертикальное (иерархическое) строение гражданского процессуального законодательства как источников одноименного права обусловлено принятием нормативных правовых актов различными государственными органами в различных формах и различиями в юридической силе этих актов. Вертикальное строение рассматривается как собственная структура законодательства. Она выражается в иерархическом построении нормативных правовых актов, в их соподчинении, при котором каждый акт занимает строго определенную ступень в иерархической структуре</w:t>
      </w:r>
      <w:hyperlink r:id="rId105" w:anchor="104" w:history="1">
        <w:r w:rsidRPr="00351E64">
          <w:rPr>
            <w:rFonts w:ascii="Times New Roman" w:eastAsia="Times New Roman" w:hAnsi="Times New Roman" w:cs="Times New Roman"/>
            <w:color w:val="0000FF"/>
            <w:sz w:val="24"/>
            <w:szCs w:val="24"/>
            <w:u w:val="single"/>
            <w:vertAlign w:val="superscript"/>
            <w:lang w:eastAsia="ru-RU"/>
          </w:rPr>
          <w:t>104</w:t>
        </w:r>
      </w:hyperlink>
      <w:r w:rsidRPr="00351E64">
        <w:rPr>
          <w:rFonts w:ascii="Times New Roman" w:eastAsia="Times New Roman" w:hAnsi="Times New Roman" w:cs="Times New Roman"/>
          <w:sz w:val="24"/>
          <w:szCs w:val="24"/>
          <w:lang w:eastAsia="ru-RU"/>
        </w:rPr>
        <w:t>. Субординация (т.е. подчинение, зависимость) одного элемента системы другому - один из наиболее существенных видов этих отношений.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Отношения субординации оказывают непосредственное воздействие на формирование законодательства, предопределяя ее иерархическое (по вертикали) строение, а следовательно, и внутреннюю сцементированность</w:t>
      </w:r>
      <w:hyperlink r:id="rId106" w:anchor="105" w:history="1">
        <w:proofErr w:type="gramStart"/>
        <w:r w:rsidRPr="00351E64">
          <w:rPr>
            <w:rFonts w:ascii="Times New Roman" w:eastAsia="Times New Roman" w:hAnsi="Times New Roman" w:cs="Times New Roman"/>
            <w:color w:val="0000FF"/>
            <w:sz w:val="24"/>
            <w:szCs w:val="24"/>
            <w:u w:val="single"/>
            <w:vertAlign w:val="superscript"/>
            <w:lang w:eastAsia="ru-RU"/>
          </w:rPr>
          <w:t>105</w:t>
        </w:r>
      </w:hyperlink>
      <w:r w:rsidRPr="00351E64">
        <w:rPr>
          <w:rFonts w:ascii="Times New Roman" w:eastAsia="Times New Roman" w:hAnsi="Times New Roman" w:cs="Times New Roman"/>
          <w:sz w:val="24"/>
          <w:szCs w:val="24"/>
          <w:lang w:eastAsia="ru-RU"/>
        </w:rPr>
        <w:t xml:space="preserve"> .</w:t>
      </w:r>
      <w:proofErr w:type="gramEnd"/>
      <w:r w:rsidRPr="00351E64">
        <w:rPr>
          <w:rFonts w:ascii="Times New Roman" w:eastAsia="Times New Roman" w:hAnsi="Times New Roman" w:cs="Times New Roman"/>
          <w:sz w:val="24"/>
          <w:szCs w:val="24"/>
          <w:lang w:eastAsia="ru-RU"/>
        </w:rPr>
        <w:t xml:space="preserve"> В научной литературе отмечается, что иерархическая (вертикальная) структура нормативных актов органов государства обусловлена, в первую очередь, закрепленной в "Основном законе государства" структурой этих органов</w:t>
      </w:r>
      <w:hyperlink r:id="rId107" w:anchor="106" w:history="1">
        <w:r w:rsidRPr="00351E64">
          <w:rPr>
            <w:rFonts w:ascii="Times New Roman" w:eastAsia="Times New Roman" w:hAnsi="Times New Roman" w:cs="Times New Roman"/>
            <w:color w:val="0000FF"/>
            <w:sz w:val="24"/>
            <w:szCs w:val="24"/>
            <w:u w:val="single"/>
            <w:vertAlign w:val="superscript"/>
            <w:lang w:eastAsia="ru-RU"/>
          </w:rPr>
          <w:t>106</w:t>
        </w:r>
      </w:hyperlink>
      <w:r w:rsidRPr="00351E64">
        <w:rPr>
          <w:rFonts w:ascii="Times New Roman" w:eastAsia="Times New Roman" w:hAnsi="Times New Roman" w:cs="Times New Roman"/>
          <w:sz w:val="24"/>
          <w:szCs w:val="24"/>
          <w:lang w:eastAsia="ru-RU"/>
        </w:rPr>
        <w:t>. Как известно, в Конституции Российской Федерации содержатся указания на правотворческие органы (ст. 90, 105, 115), на виды нормативных актов, издаваемых этими органами, на зависимость между этими актами, на полномочия Российской Федерации и субъектов Российской Федерации в области правотворчества (ст. 71, 72).</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Отношения субординации выражают степень подчиненности одного нормативного правового акта другому. Причем они могут иметь характер внутренней или внешней субординации. Отсюда следует вывод о </w:t>
      </w:r>
      <w:proofErr w:type="spellStart"/>
      <w:r w:rsidRPr="00351E64">
        <w:rPr>
          <w:rFonts w:ascii="Times New Roman" w:eastAsia="Times New Roman" w:hAnsi="Times New Roman" w:cs="Times New Roman"/>
          <w:sz w:val="24"/>
          <w:szCs w:val="24"/>
          <w:lang w:eastAsia="ru-RU"/>
        </w:rPr>
        <w:t>многоуровнем</w:t>
      </w:r>
      <w:proofErr w:type="spellEnd"/>
      <w:r w:rsidRPr="00351E64">
        <w:rPr>
          <w:rFonts w:ascii="Times New Roman" w:eastAsia="Times New Roman" w:hAnsi="Times New Roman" w:cs="Times New Roman"/>
          <w:sz w:val="24"/>
          <w:szCs w:val="24"/>
          <w:lang w:eastAsia="ru-RU"/>
        </w:rPr>
        <w:t xml:space="preserve"> характере иерархической структуры законодательства. Отношения субординации оказывают непосредственное воздействие и на формирование вертикальной структуры источников гражданского процессуального права, определяя ее иерархическое строение.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На иерархическую структуру источников гражданского процессуального права оказывают системообразующее влияние два фактора. Согласно п. 0 ст. 71 Конституции гражданско-процессуальное законодательство, так </w:t>
      </w:r>
      <w:proofErr w:type="gramStart"/>
      <w:r w:rsidRPr="00351E64">
        <w:rPr>
          <w:rFonts w:ascii="Times New Roman" w:eastAsia="Times New Roman" w:hAnsi="Times New Roman" w:cs="Times New Roman"/>
          <w:sz w:val="24"/>
          <w:szCs w:val="24"/>
          <w:lang w:eastAsia="ru-RU"/>
        </w:rPr>
        <w:t>же</w:t>
      </w:r>
      <w:proofErr w:type="gramEnd"/>
      <w:r w:rsidRPr="00351E64">
        <w:rPr>
          <w:rFonts w:ascii="Times New Roman" w:eastAsia="Times New Roman" w:hAnsi="Times New Roman" w:cs="Times New Roman"/>
          <w:sz w:val="24"/>
          <w:szCs w:val="24"/>
          <w:lang w:eastAsia="ru-RU"/>
        </w:rPr>
        <w:t xml:space="preserve"> как и судоустройство, находятся в ведении Российской Федерации. Следовательно, субъекты Российской Федерации не вправе принимать нормативно-правовые акты, устанавливающие правила о гражданском процессе. Если такие нормативно-правовые акты приняты, то они, как противоречащие Конституции Российской Федерации, не подлежат применению (ч. 5 ст. 76 Конституции РФ), а также акты или их отдельные положения признаются Конституционным судом РФ неконституционными и утратившими свою законную силу (ст. 125 Конституции РФ). Кроме того, по тексту ст. 71 Конституции, к ведению Российской Федерации относится гражданское процессуальное законодательство. Термин "законодательство" используется в литературе и в правотворческой практике в узком и широком смысле. В узком смысле - как термин, означающий нормативный акт высшего законодательного органа государства или </w:t>
      </w:r>
      <w:r w:rsidRPr="00351E64">
        <w:rPr>
          <w:rFonts w:ascii="Times New Roman" w:eastAsia="Times New Roman" w:hAnsi="Times New Roman" w:cs="Times New Roman"/>
          <w:sz w:val="24"/>
          <w:szCs w:val="24"/>
          <w:lang w:eastAsia="ru-RU"/>
        </w:rPr>
        <w:lastRenderedPageBreak/>
        <w:t>акта, принятого на уровне всенародного референдума. В широком смысле - как термин, включающий в свой состав (содержание) нормативные акты (законы), принятые законодательным органом, и нормативные акты Правительства</w:t>
      </w:r>
      <w:hyperlink r:id="rId108" w:anchor="107" w:history="1">
        <w:proofErr w:type="gramStart"/>
        <w:r w:rsidRPr="00351E64">
          <w:rPr>
            <w:rFonts w:ascii="Times New Roman" w:eastAsia="Times New Roman" w:hAnsi="Times New Roman" w:cs="Times New Roman"/>
            <w:color w:val="0000FF"/>
            <w:sz w:val="24"/>
            <w:szCs w:val="24"/>
            <w:u w:val="single"/>
            <w:vertAlign w:val="superscript"/>
            <w:lang w:eastAsia="ru-RU"/>
          </w:rPr>
          <w:t>107</w:t>
        </w:r>
      </w:hyperlink>
      <w:r w:rsidRPr="00351E64">
        <w:rPr>
          <w:rFonts w:ascii="Times New Roman" w:eastAsia="Times New Roman" w:hAnsi="Times New Roman" w:cs="Times New Roman"/>
          <w:sz w:val="24"/>
          <w:szCs w:val="24"/>
          <w:lang w:eastAsia="ru-RU"/>
        </w:rPr>
        <w:t xml:space="preserve"> .</w:t>
      </w:r>
      <w:proofErr w:type="gramEnd"/>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Официального определения термина "законодательство" в Конституции Российской Федерации не содержится. Путем толкования норм других законов, принятых на основе Конституции Российской Федерации, можно сделать вывод о смысле, вложенном законодателем в термин "гражданское процессуальное законодательство". В ст. 3 Федерального Конституционного Закона "О судебной системе Российской Федерации" от 31 декабря 1996 года установлено, что единство судебной системы обеспечивается путем соблюдения всеми федеральными судами и мировыми судьями правил судопроизводства, установленных федеральными законами (п. 2). Ст. 1 ГПК РСФСР, именуемая Законодательство о гражданском судопроизводстве в редакции Федерального закона от 7 августа 2000 года, установила, что порядок гражданского судопроизводства в федеральных судах общей юрисдикции определяется Конституцией Российской Федерации, Федеральным Конституционным Законом "О судебной системе в Российской Федерации", Гражданским процессуальным кодексом и другими федеральными законами.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Таким образом, на основании приведенных нами законов можно сделать вывод о том, что в ст. 71 (п. 0) Конституции Российской Федерации в термин "гражданское процессуальное Законодательство" вложен смысл о равнозначной совокупности гражданских процессуальных законов, а не совокупности законов и подзаконных нормативных актов. Гражданские процессуальные законы как часть структуры законодательных актов Российской Федерации обладают сложным строением. По значению и по юридической силе они могут быть представлены схематически как некая пирамида. Наиболее существенное значение имеет выделение из общей массы законов Конституции Российской Федерации.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Конституция была принята путем всенародного голосования (12 декабря 1993 года). Установлен особый порядок ее пересмотра. Конституция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В Конституции закреплены основополагающие принципы правосудия, получающие развитие в гражданском процессуальном законодательстве. Конституцию можно рассматривать в качестве активного центра по отношению ко всей иерархической структуре гражданского процессуального законодательства.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Следующую ступень в иерархии гражданского процессуального законодательства как источника гражданского процессуального права занимают конституционные законы. Конституционные законы, так же, как и обычные законы, принимаются Государственной Думой Федерального Собрания Российской Федерации. Государственная Дума является единственным законодательным органом федерального уровня. Федеральный конституционный закон принимается Государственной Думой по вопросам, указанным в тексте Конституции, с предварительного одобрения Совета Федерации (ст. 108 </w:t>
      </w:r>
      <w:r w:rsidRPr="00351E64">
        <w:rPr>
          <w:rFonts w:ascii="Times New Roman" w:eastAsia="Times New Roman" w:hAnsi="Times New Roman" w:cs="Times New Roman"/>
          <w:sz w:val="24"/>
          <w:szCs w:val="24"/>
          <w:lang w:eastAsia="ru-RU"/>
        </w:rPr>
        <w:lastRenderedPageBreak/>
        <w:t>Конституции РФ). Федеральный конституционный закон отличается от обычных законов по своей юридической силе и по процедуре голосования. Он считается принятым при голосовании за него не менее 2/3 депутатов, а обычные законы принимаются по простому большинству голосов (ст. 105).</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Источником гражданского процессуального права является Федеральный Конституционный закон "О судебной системе в Российской Федерации" от 31 декабря 1999 года, который установил ряд основополагающих правил об участии граждан в осуществлении правосудия, о языке судопроизводства, о применении судами законодательства при рассмотрении дел. В отношении законодательства, принятого до ФКЗ "О судебной системе", было указано на их применение в части, не противоречащей данному Закону. Закон также предусмотрел принятие ряда законодательных актов о полномочиях и о порядке деятельности мировых судей (ст. 28).</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Принятие Федерального закона "О мировых судьях" от 17 декабря 1998 года и внесение изменений и дополнений, связанных с деятельностью мировых судей, в ГПК РСФСР Федеральным законом от 7 августа 2000 года является свидетельством значения и места конституционного закона в иерархической системе источников гражданского процессуального права. Безусловно, обычное гражданское процессуальное законодательство не должно противоречить Конституции и конституционному закону.</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Среди гражданских процессуальных законов, не относящихся к конституционным, также существует известная иерархия. Отметим среди них особую роль гражданского процессуального кодекса. В литературе всегда отмечалось ведущее значение кодексов</w:t>
      </w:r>
      <w:hyperlink r:id="rId109" w:anchor="108" w:history="1">
        <w:r w:rsidRPr="00351E64">
          <w:rPr>
            <w:rFonts w:ascii="Times New Roman" w:eastAsia="Times New Roman" w:hAnsi="Times New Roman" w:cs="Times New Roman"/>
            <w:color w:val="0000FF"/>
            <w:sz w:val="24"/>
            <w:szCs w:val="24"/>
            <w:u w:val="single"/>
            <w:vertAlign w:val="superscript"/>
            <w:lang w:eastAsia="ru-RU"/>
          </w:rPr>
          <w:t>108</w:t>
        </w:r>
      </w:hyperlink>
      <w:r w:rsidRPr="00351E64">
        <w:rPr>
          <w:rFonts w:ascii="Times New Roman" w:eastAsia="Times New Roman" w:hAnsi="Times New Roman" w:cs="Times New Roman"/>
          <w:sz w:val="24"/>
          <w:szCs w:val="24"/>
          <w:lang w:eastAsia="ru-RU"/>
        </w:rPr>
        <w:t>. Указывалось также на необходимость выделения в подсистеме обыкновенных законов двух подсистем: кодификационных и текущих законов</w:t>
      </w:r>
      <w:hyperlink r:id="rId110" w:anchor="109" w:history="1">
        <w:r w:rsidRPr="00351E64">
          <w:rPr>
            <w:rFonts w:ascii="Times New Roman" w:eastAsia="Times New Roman" w:hAnsi="Times New Roman" w:cs="Times New Roman"/>
            <w:color w:val="0000FF"/>
            <w:sz w:val="24"/>
            <w:szCs w:val="24"/>
            <w:u w:val="single"/>
            <w:vertAlign w:val="superscript"/>
            <w:lang w:eastAsia="ru-RU"/>
          </w:rPr>
          <w:t>109</w:t>
        </w:r>
      </w:hyperlink>
      <w:r w:rsidRPr="00351E64">
        <w:rPr>
          <w:rFonts w:ascii="Times New Roman" w:eastAsia="Times New Roman" w:hAnsi="Times New Roman" w:cs="Times New Roman"/>
          <w:sz w:val="24"/>
          <w:szCs w:val="24"/>
          <w:lang w:eastAsia="ru-RU"/>
        </w:rPr>
        <w:t>. Это обосновывалось тем, что кодексы - это важнейшие правовые акты, закрепляющие принципы отрасли права, из которых должно исходить все последующее отраслевое законодательство. Гражданский процессуальный кодекс РСФСР - это закон, возглавляющий систему остального гражданского процессуального законодательства. Это основной отраслевой закон, всецело посвященный детальному регулированию судопроизводства по гражданским делам. Так же, как и система гражданского процессуального права, ГПК подразделяется на общую и особенную части. Общая часть обособлена в виде раздела "Общие положения", а особенная часть состоит из 5-ти разделов.</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общей части ГПК (раздел I) закреплены общие институты законодательства, принципы, другие наиболее общие положения, определяющие сущность, задачи, содержание гражданского процесса. В остальных разделах (со II по IV) закреплены специальные нормы - предписания и институты, регулирующие гражданский процесс по видам судопроизводства и по стадиям. Особое место занимают нормы об особенностях гражданского судопроизводства с участием иностранцев.</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xml:space="preserve">После принятия Конституции РФ в ГПК были внесены существенные изменения и дополнения на законодательном уровне. Несмотря на свою полноту, </w:t>
      </w:r>
      <w:proofErr w:type="gramStart"/>
      <w:r w:rsidRPr="00351E64">
        <w:rPr>
          <w:rFonts w:ascii="Times New Roman" w:eastAsia="Times New Roman" w:hAnsi="Times New Roman" w:cs="Times New Roman"/>
          <w:sz w:val="24"/>
          <w:szCs w:val="24"/>
          <w:lang w:eastAsia="ru-RU"/>
        </w:rPr>
        <w:t>ГПК</w:t>
      </w:r>
      <w:proofErr w:type="gramEnd"/>
      <w:r w:rsidRPr="00351E64">
        <w:rPr>
          <w:rFonts w:ascii="Times New Roman" w:eastAsia="Times New Roman" w:hAnsi="Times New Roman" w:cs="Times New Roman"/>
          <w:sz w:val="24"/>
          <w:szCs w:val="24"/>
          <w:lang w:eastAsia="ru-RU"/>
        </w:rPr>
        <w:t xml:space="preserve"> однако не регулирует все процессуальные нормы исчерпывающим образом. Принимаются отдельные процессуальные законы, либо законы, комплексно регулирующие различные материально-правовые отношения, в которых содержатся нормы о гражданском судопроизводстве. Отраслевые кодексы: ГК, СК, КЗОТ и другие также содержат отдельные процессуальные нормы. В соответствии со ст. 1 ГПК нормы гражданского процессуального права, содержащиеся в других законах, должны соответствовать положениям Гражданского Процессуального Кодекса.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Таким образом, кодексы, возглавляющие систему отраслевого законодательства по процессуальным вопросам по отношению к ГПК, имеют подчиненное значение, т.е. эти нормы не могут противоречить (отменить, изменить) процессуальным нормам, содержащимся в ГПК. Содержание норм гражданского процесса в материально-правовых нормативных актах обусловлено тесными связями, существующими между материальными и процессуальными отраслями права. Поэтому в любом законе можно обнаружить отдельные процессуальные нормы, регулирующие особенности судебной защиты прав в случае возникновения спора между субъектами соответствующих правоотношений.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Особое место в иерархической системе занимают Указы Президента Российской Федерации. Источниками права являются лишь нормативные Указы (ст. 90), устанавливающие общие правила поведения и рассчитанные на многократное применение. О соотношении Указов Президента с Федеральными законами следует заметить, что Указ - это подзаконный нормативный акт и он не должен противоречить Федеральным законам. Указы, как правило, издаются при отсутствии закона, регулирующего соответствующие отношения. Если же впоследствии содержание Указа будет поглощено Федеральным законом, то Указ подлежит отмене Президентом. Указ Президента Российской Федерации "О неотложных мерах по реализации решений об обращении взыскания на имущество организаций" от 14 февраля 1996 года, которым утверждено "Временное положение о порядке обращения взыскания на имущество организаций", является источником гражданского процессуального права, т.к. в нем содержатся нормы процессуального характера (отсрочка, приостановление производства и др.)</w:t>
      </w:r>
      <w:hyperlink r:id="rId111" w:anchor="110" w:history="1">
        <w:proofErr w:type="gramStart"/>
        <w:r w:rsidRPr="00351E64">
          <w:rPr>
            <w:rFonts w:ascii="Times New Roman" w:eastAsia="Times New Roman" w:hAnsi="Times New Roman" w:cs="Times New Roman"/>
            <w:color w:val="0000FF"/>
            <w:sz w:val="24"/>
            <w:szCs w:val="24"/>
            <w:u w:val="single"/>
            <w:vertAlign w:val="superscript"/>
            <w:lang w:eastAsia="ru-RU"/>
          </w:rPr>
          <w:t>110</w:t>
        </w:r>
      </w:hyperlink>
      <w:r w:rsidRPr="00351E64">
        <w:rPr>
          <w:rFonts w:ascii="Times New Roman" w:eastAsia="Times New Roman" w:hAnsi="Times New Roman" w:cs="Times New Roman"/>
          <w:sz w:val="24"/>
          <w:szCs w:val="24"/>
          <w:lang w:eastAsia="ru-RU"/>
        </w:rPr>
        <w:t xml:space="preserve"> .</w:t>
      </w:r>
      <w:proofErr w:type="gramEnd"/>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Следующую ступень в иерархической системе гражданского процессуального законодательства занимают Постановления Правительства РФ. В соответствии со ст. 115 Конституции постановления и распоряжения Правительства РФ издаются на основании и во исполнение Конституции Российской Федерации, Федеральных законов и нормативных Указов Президента. Не все акты правительства имеют нормативный характер. Источниками гражданского процессуального права являются акты Правительства, в которых устанавливаются определенные правила поведения для суда, для участников процесса по гражданским делам, и они внешне выражаются в форме постановлений.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Нормативные Постановления Правительства являются необходимым звеном правовой системы государства. Они обязательны к исполнению всеми и на всей территории </w:t>
      </w:r>
      <w:r w:rsidRPr="00351E64">
        <w:rPr>
          <w:rFonts w:ascii="Times New Roman" w:eastAsia="Times New Roman" w:hAnsi="Times New Roman" w:cs="Times New Roman"/>
          <w:sz w:val="24"/>
          <w:szCs w:val="24"/>
          <w:lang w:eastAsia="ru-RU"/>
        </w:rPr>
        <w:lastRenderedPageBreak/>
        <w:t>Российской Федерации. Источником гражданского процессуального права является Постановление Совета Министров РСФСР от 14 марта 1976 года (с изменениями и дополнениями от 5 ноября 1999 года) "Об утверждении перечня документов, по которым взыскание задолженности производится в бесспорном порядке на основании исполнительных подписей органов, совершающих нотариальные действия"</w:t>
      </w:r>
      <w:hyperlink r:id="rId112" w:anchor="111" w:history="1">
        <w:r w:rsidRPr="00351E64">
          <w:rPr>
            <w:rFonts w:ascii="Times New Roman" w:eastAsia="Times New Roman" w:hAnsi="Times New Roman" w:cs="Times New Roman"/>
            <w:color w:val="0000FF"/>
            <w:sz w:val="24"/>
            <w:szCs w:val="24"/>
            <w:u w:val="single"/>
            <w:vertAlign w:val="superscript"/>
            <w:lang w:eastAsia="ru-RU"/>
          </w:rPr>
          <w:t>111</w:t>
        </w:r>
      </w:hyperlink>
      <w:r w:rsidRPr="00351E64">
        <w:rPr>
          <w:rFonts w:ascii="Times New Roman" w:eastAsia="Times New Roman" w:hAnsi="Times New Roman" w:cs="Times New Roman"/>
          <w:sz w:val="24"/>
          <w:szCs w:val="24"/>
          <w:lang w:eastAsia="ru-RU"/>
        </w:rPr>
        <w:t>. Другим источником гражданского процессуального права является "Инструкция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утвержденная Постановлением Совета Министров РСФСР от 14 июля 1990 года (№245) 3.</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Необходимо отметить, что постановления Правительства в случае их противоречия Конституции РФ, Федеральным законам и Указам Президента РФ могут быть отменены Президентом РФ. Кроме того, вопрос о соответствии Конституции РФ Федеральных законов, нормативных актов Президента РФ, Совета Федерации, Государственной Думы, Правительства РФ может быть предметом проверки и разрешения Конституционного суда Российской Федерации.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соответствии со ст. 71 (п. 0) Конституции РФ и со ст. 1 Гражданского процессуального кодекса РСФСР (в редакции Федерального закона от 7 августа 2000 года) подзаконные нормативные правовые акты не могут быть источниками гражданского процессуального права. Ведомственные правовые нормативные акты также не должны регулировать источником гражданские процессуальные отношения. Ранее автор, проанализировав действующие ведомственные нормативные акты и правотворческую практику министерств и ведомств, был сторонником признания этих актов источниками гражданского процессуального права</w:t>
      </w:r>
      <w:hyperlink r:id="rId113" w:anchor="113" w:history="1">
        <w:r w:rsidRPr="00351E64">
          <w:rPr>
            <w:rFonts w:ascii="Times New Roman" w:eastAsia="Times New Roman" w:hAnsi="Times New Roman" w:cs="Times New Roman"/>
            <w:color w:val="0000FF"/>
            <w:sz w:val="24"/>
            <w:szCs w:val="24"/>
            <w:u w:val="single"/>
            <w:vertAlign w:val="superscript"/>
            <w:lang w:eastAsia="ru-RU"/>
          </w:rPr>
          <w:t>113</w:t>
        </w:r>
      </w:hyperlink>
      <w:r w:rsidRPr="00351E64">
        <w:rPr>
          <w:rFonts w:ascii="Times New Roman" w:eastAsia="Times New Roman" w:hAnsi="Times New Roman" w:cs="Times New Roman"/>
          <w:sz w:val="24"/>
          <w:szCs w:val="24"/>
          <w:lang w:eastAsia="ru-RU"/>
        </w:rPr>
        <w:t>. Однако правотворческая практика после принятия Конституции РФ постепенно избавляется от груза прошлого, последовательно следует по пути законодательного урегулирования вопросов гражданского судопроизводства.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Отдельные вопросы процессуального характера, которые включены, например, в Инструкцию ГНС РФ по применению Закона РФ "О государственной пошлине" от 15 мая 1996 года </w:t>
      </w:r>
      <w:hyperlink r:id="rId114" w:anchor="114" w:history="1">
        <w:r w:rsidRPr="00351E64">
          <w:rPr>
            <w:rFonts w:ascii="Times New Roman" w:eastAsia="Times New Roman" w:hAnsi="Times New Roman" w:cs="Times New Roman"/>
            <w:color w:val="0000FF"/>
            <w:sz w:val="24"/>
            <w:szCs w:val="24"/>
            <w:u w:val="single"/>
            <w:vertAlign w:val="superscript"/>
            <w:lang w:eastAsia="ru-RU"/>
          </w:rPr>
          <w:t>114</w:t>
        </w:r>
      </w:hyperlink>
      <w:r w:rsidRPr="00351E64">
        <w:rPr>
          <w:rFonts w:ascii="Times New Roman" w:eastAsia="Times New Roman" w:hAnsi="Times New Roman" w:cs="Times New Roman"/>
          <w:sz w:val="24"/>
          <w:szCs w:val="24"/>
          <w:lang w:eastAsia="ru-RU"/>
        </w:rPr>
        <w:t>, содержатся в письме ЦБР от 17 октября 1999 года (№293-Т "О порядке исполнения определения судов об обеспечении исков в виде наложения ареста на денежные средства, находящиеся на корреспондентских счетах ответчиков кредитных организаций"), дублируют либо конкретизируют общие нормы ГПК РСФСР; они носят вспомогательный, разъяснительный характер. Кроме того, объем подзаконных нормативных актов в общей системе гражданского процессуального права незначителен.</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После анализа вертикальных иерархических связей между нормативными правовыми актами, регулирующими гражданский процесс, можно представить следующую структуру: Конституция РФ, конституционные законы, обычное законодательство. Последняя группа - более многочисленная - возглавляется Гражданским процессуальным кодексом, который выступает в качестве активного системообразующего и управляющего центра, т.к. все иное гражданское процессуальное законодательство должно соответствовать положениям ГПК. Затем следуют подзаконные нормативные акты. При рассмотрении иерархических </w:t>
      </w:r>
      <w:r w:rsidRPr="00351E64">
        <w:rPr>
          <w:rFonts w:ascii="Times New Roman" w:eastAsia="Times New Roman" w:hAnsi="Times New Roman" w:cs="Times New Roman"/>
          <w:sz w:val="24"/>
          <w:szCs w:val="24"/>
          <w:lang w:eastAsia="ru-RU"/>
        </w:rPr>
        <w:lastRenderedPageBreak/>
        <w:t>источников системы гражданского процессуального права необходимо определить в данной системе место международных договоров и гражданского процессуального законодательства бывшего Союза ССР.</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соответствии со ст. 15 (ч. 4)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Распад Союза ССР, возникновение на его территории независимых государств, усиление миграции населения, свободное движение граждан различных стран как ближнего, так и дальнего зарубежья, рост количества смешанных браков, усиление экономических международных связей делают актуальным регулирование гражданского судопроизводства с участием иностранцев. На основании ст. 62 Конституции РФ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Соответственно, иностранные граждане имеют право (ст. 433 ГПК РСФСР) обращаться в суды РФ и пользоваться гражданскими процессуальными правами наравне с российскими гражданами. Это правило распространяется на иностранные организации и на лиц без гражданства. Таким образом, иностранцам предоставлен национальный режим в области гражданского судопроизводства, т.е. при обращении в суд на них распространяется гражданский процессуальный закон. Это правило закрепляется также в двухсторонних и многосторонних международных договорах Российской Федерации. Международные договоры, содержащие положения о гражданском судопроизводстве, являются самостоятельной формой (источником) выражения норм гражданского процессуального права. На вопрос о том, какое место занимают в иерархической системе источников гражданского процессуального права международные договоры, ответ вытекает из ст. 15 (ч. 4) Конституции РФ, в которой записано, что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Эта норма-принцип также закреплена в ст. 1 ГПК, в части четвертой которой установлено, что если международным договором Российской Федерации установлены иные правила, чем предусмотренные гражданским процессуальным законом, то применяются правила международного договора.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Как вытекает из смысла ст.15 (ч.4) Конституции РФ и ст.1 (ч.4) ГПК РСФСР, международные договора обладают верховенством (приоритетом) в отношении не всей системы законодательства. Так, Конституция РФ (ст. 15) имеет высшую юридическую силу. Конституционный Суд РФ (ст. 125) разрешает дела о соответствии Федеральных законов Конституции РФ. Международный договор не может быть выше Основного закона государства. Занимать равное юридическое положение с Конституцией международный договор также не может. В литературе было высказано вполне обоснованное предположение о нераспространении приоритета международного договора и в отношении конституционного законодательства</w:t>
      </w:r>
      <w:hyperlink r:id="rId115" w:anchor="115" w:history="1">
        <w:r w:rsidRPr="00351E64">
          <w:rPr>
            <w:rFonts w:ascii="Times New Roman" w:eastAsia="Times New Roman" w:hAnsi="Times New Roman" w:cs="Times New Roman"/>
            <w:color w:val="0000FF"/>
            <w:sz w:val="24"/>
            <w:szCs w:val="24"/>
            <w:u w:val="single"/>
            <w:vertAlign w:val="superscript"/>
            <w:lang w:eastAsia="ru-RU"/>
          </w:rPr>
          <w:t>115</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Таким образом, в иерархической структуре источников гражданского процессуального права по своей юридической силе международные договоры занимают после Конституции РФ, федеральных конституционных законов третью ступень. Что же касается гражданского процессуального законодательства бывшего СССР, то принципы его действия были определены Постановлением Верховного Совета РСФСР от 12 декабря 1991 года "О ратификации Соглашения о создании Содружества Независимых Государств", согласно пункта 2 которого законы бывшего СССР действуют на территории Российской Федерации в части, не противоречащей Конституции Российской Федерации, законодательству Российской Федерации и Соглашению о создании СНГ до принятия соответствующих законодательных актов России</w:t>
      </w:r>
      <w:hyperlink r:id="rId116" w:anchor="115a" w:history="1">
        <w:r w:rsidRPr="00351E64">
          <w:rPr>
            <w:rFonts w:ascii="Times New Roman" w:eastAsia="Times New Roman" w:hAnsi="Times New Roman" w:cs="Times New Roman"/>
            <w:color w:val="0000FF"/>
            <w:sz w:val="24"/>
            <w:szCs w:val="24"/>
            <w:u w:val="single"/>
            <w:vertAlign w:val="superscript"/>
            <w:lang w:eastAsia="ru-RU"/>
          </w:rPr>
          <w:t>115a</w:t>
        </w:r>
      </w:hyperlink>
      <w:r w:rsidRPr="00351E64">
        <w:rPr>
          <w:rFonts w:ascii="Times New Roman" w:eastAsia="Times New Roman" w:hAnsi="Times New Roman" w:cs="Times New Roman"/>
          <w:sz w:val="24"/>
          <w:szCs w:val="24"/>
          <w:lang w:eastAsia="ru-RU"/>
        </w:rPr>
        <w:t xml:space="preserve">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Следовательно, законодательные акты бывшего СССР в иерархической структуре источников гражданского процессуального права занимают соответствующее своей юридической силе, рангу правотворческого органа место. Законы, кодексы, указы, постановления Правительства и т.д. применяются лишь в том случае, если по рассматриваемому вопросу отсутствует соответствующий российский законодательный акт. Исследование источников гражданского процессуального права на этом нельзя считать законченным, так как были рассмотрены фрагментарно лишь некоторые вопросы большой проблемы. Как уже было отмечено, гражданское процессуальное законодательство отнесено к ведению Российской Федерации, и поэтому его федеральное строение, основанное на двух критериях - федеративной структуре государства и круге полномочий субъектов федерации в сфере законодательства, осталось неисследованным.</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pStyle w:val="a3"/>
        <w:jc w:val="center"/>
      </w:pPr>
      <w:r>
        <w:rPr>
          <w:rStyle w:val="a4"/>
        </w:rPr>
        <w:lastRenderedPageBreak/>
        <w:t>О КОНЦЕПЦИИ ПРЕДУПРЕЖДЕНИЯ НАРКОМАНИИ СРЕДИ ПОДРОСТКОВ И МОЛОДЕЖИ</w:t>
      </w:r>
    </w:p>
    <w:p w:rsidR="00351E64" w:rsidRDefault="00351E64" w:rsidP="00351E64">
      <w:pPr>
        <w:pStyle w:val="a3"/>
        <w:jc w:val="center"/>
      </w:pPr>
    </w:p>
    <w:p w:rsidR="00351E64" w:rsidRDefault="00351E64" w:rsidP="00351E64">
      <w:pPr>
        <w:pStyle w:val="a3"/>
        <w:jc w:val="center"/>
      </w:pPr>
      <w:r>
        <w:rPr>
          <w:rStyle w:val="a4"/>
        </w:rPr>
        <w:t xml:space="preserve">Ю.Д. </w:t>
      </w:r>
      <w:proofErr w:type="spellStart"/>
      <w:r>
        <w:rPr>
          <w:rStyle w:val="a4"/>
        </w:rPr>
        <w:t>Гудкович</w:t>
      </w:r>
      <w:proofErr w:type="spellEnd"/>
      <w:r>
        <w:rPr>
          <w:rStyle w:val="a4"/>
        </w:rPr>
        <w:t xml:space="preserve">, проректор по инновационным технологиям ТИСБИ, заслуженный юрист РФ, профессор </w:t>
      </w:r>
    </w:p>
    <w:p w:rsidR="00351E64" w:rsidRDefault="00351E64" w:rsidP="00351E64">
      <w:pPr>
        <w:pStyle w:val="a3"/>
        <w:jc w:val="center"/>
      </w:pPr>
    </w:p>
    <w:p w:rsidR="00351E64" w:rsidRDefault="00351E64" w:rsidP="00351E64">
      <w:pPr>
        <w:pStyle w:val="a3"/>
        <w:jc w:val="both"/>
      </w:pPr>
      <w:r>
        <w:t xml:space="preserve">Наркомания среди подростков и молодежи ныне является предметом обсуждения в государственной, общественной и гражданской сферах. Приводятся разные данные, характеризующие ее вредоносное влияние, анализируется соотношение наркомании с аморальностью и </w:t>
      </w:r>
      <w:proofErr w:type="spellStart"/>
      <w:r>
        <w:t>правонарушаемостью</w:t>
      </w:r>
      <w:proofErr w:type="spellEnd"/>
      <w:r>
        <w:t xml:space="preserve"> в подростковой и молодежной среде и т.д. Причем каждое ведомство, в той или иной степени связанное с этой проблемой, "на свой лад" приводит устрашающие данные вместе с выводом о важности профилактической работы и предложением только ему известных мер. Все это нередко носит бессистемный характер, приводит к "разнобою" в организации профилактики.</w:t>
      </w:r>
    </w:p>
    <w:p w:rsidR="00351E64" w:rsidRDefault="00351E64" w:rsidP="00351E64">
      <w:pPr>
        <w:pStyle w:val="a3"/>
        <w:jc w:val="both"/>
      </w:pPr>
      <w:r>
        <w:t> </w:t>
      </w:r>
    </w:p>
    <w:p w:rsidR="00351E64" w:rsidRDefault="00351E64" w:rsidP="00351E64">
      <w:pPr>
        <w:pStyle w:val="a3"/>
        <w:jc w:val="both"/>
      </w:pPr>
      <w:r>
        <w:t xml:space="preserve">К сожалению, в литературе, в средствах массовой информации, в выступлениях ученых, функционеров образования, здравоохранения, управления и политиков не всегда четко определяется содержание этой профилактической работы как совокупности предупредительных мероприятий, имеющих отношение к общей, специальной и индивидуальной профилактике. Между тем, каждое из направлений профилактики имеет особенности, свою "технологию", методику. Поэтому нередко вместо обоснованного предложения действительно нужных предупредительных мер можно слышать об "усилении", "укреплении", "ограничении", "заострении", "обращении внимания" на те или иные факторы, порой выступающие чисто случайными, второстепенными, </w:t>
      </w:r>
      <w:proofErr w:type="spellStart"/>
      <w:r>
        <w:t>узкоспецифическими</w:t>
      </w:r>
      <w:proofErr w:type="spellEnd"/>
      <w:r>
        <w:t xml:space="preserve"> и т.д. Но в такой нечеткости, как нам представляется, менее всего повинны лица, дающие рекомендации "по поводу" предупреждения наркомании среди подростков и молодежи. Причиной тому можно считать отсутствие </w:t>
      </w:r>
      <w:proofErr w:type="spellStart"/>
      <w:r>
        <w:t>научнообоснованной</w:t>
      </w:r>
      <w:proofErr w:type="spellEnd"/>
      <w:r>
        <w:t xml:space="preserve"> Концепции предупреждения наркомании в этой среде. При этом, мы сразу же оговоримся, что речь вовсе не идет о теории вопроса, а лишь о правовом документе, в котором в обобщающем и систематизированном виде говорится об угрозе наркомании, о принятии вытекающих из анализа криминологической обстановки безотлагательных и решительных мер по ее нейтрализации.</w:t>
      </w:r>
    </w:p>
    <w:p w:rsidR="00351E64" w:rsidRDefault="00351E64" w:rsidP="00351E64">
      <w:pPr>
        <w:pStyle w:val="a3"/>
        <w:jc w:val="both"/>
      </w:pPr>
      <w:r>
        <w:t> </w:t>
      </w:r>
    </w:p>
    <w:p w:rsidR="00351E64" w:rsidRDefault="00351E64" w:rsidP="00351E64">
      <w:pPr>
        <w:pStyle w:val="a3"/>
        <w:jc w:val="both"/>
      </w:pPr>
      <w:r>
        <w:t>Такая Концепция позволит видеть не только то, что необходимо сделать для предупреждения наркомании, но и как эту работу выполнить, как выявить и устранить многие обстоятельства, которые способствуют распространению наркомании среди подростков и молодежи. Одна из особенностей Концепции состоит в том, что она может заложить правовые основы взаимодействия контролирующих, надзорных и правоохранительных органов в организации предупреждения наркомании среди подростков и молодежи. В таком взаимодействии более всего ныне нуждаются эти органы. Для этого необходимо создание добротной методической базы, позволяющей "объединять", а не "разделять" усилия многих участников совместной профилактической деятельности.</w:t>
      </w:r>
    </w:p>
    <w:p w:rsidR="00351E64" w:rsidRDefault="00351E64" w:rsidP="00351E64">
      <w:pPr>
        <w:pStyle w:val="a3"/>
        <w:jc w:val="both"/>
      </w:pPr>
      <w:r>
        <w:t> </w:t>
      </w:r>
    </w:p>
    <w:p w:rsidR="00351E64" w:rsidRDefault="00351E64" w:rsidP="00351E64">
      <w:pPr>
        <w:pStyle w:val="a3"/>
        <w:jc w:val="both"/>
      </w:pPr>
      <w:r>
        <w:lastRenderedPageBreak/>
        <w:t>Надо сказать, что в нынешнем состоянии взаимосвязи в предупреждении наркомании просматривается несколько видов работ. Во-первых, в методических целях должен быть определен круг участников профилактики. В этот круг входит несколько групп. Прежде всего, те участники, которые непосредственно ведут индивидуальную работу в подростковой и молодежной среде. Затем идут участники, которые осуществляют свои контрольные и правоохранительные функции. Еще одна группа - те, которые заняты преимущественно руководством или координационной деятельностью по предупреждению наркомании среди подростков и молодежи. Все эти участники действуют не изолированно, а во взаимосвязи друг с другом.</w:t>
      </w:r>
    </w:p>
    <w:p w:rsidR="00351E64" w:rsidRDefault="00351E64" w:rsidP="00351E64">
      <w:pPr>
        <w:pStyle w:val="a3"/>
        <w:jc w:val="both"/>
      </w:pPr>
      <w:r>
        <w:t> </w:t>
      </w:r>
    </w:p>
    <w:p w:rsidR="00351E64" w:rsidRDefault="00351E64" w:rsidP="00351E64">
      <w:pPr>
        <w:pStyle w:val="a3"/>
        <w:jc w:val="both"/>
      </w:pPr>
      <w:r>
        <w:t>Во-вторых, методика предполагает четкое разъяснение терминов "взаимосвязь", "взаимодействие", "координация". Поскольку ныне в процессе предупреждения действует множество участников, то лучше всего определить содержание понятие "координация". Под ней нужно понимать устойчивую взаимосвязь, которая заключается в регулярном осуществлении согласованных действий, основанных на совместных планах и программах.</w:t>
      </w:r>
    </w:p>
    <w:p w:rsidR="00351E64" w:rsidRDefault="00351E64" w:rsidP="00351E64">
      <w:pPr>
        <w:pStyle w:val="a3"/>
        <w:jc w:val="both"/>
      </w:pPr>
      <w:r>
        <w:t> </w:t>
      </w:r>
    </w:p>
    <w:p w:rsidR="00351E64" w:rsidRDefault="00351E64" w:rsidP="00351E64">
      <w:pPr>
        <w:pStyle w:val="a3"/>
        <w:jc w:val="both"/>
      </w:pPr>
      <w:r>
        <w:t>В-третьих, возникает необходимость систематизировать все контролирующие, надзорные и правоохранительные органы, участвующие в предупреждении наркомании, с определением их компетенции в этом деле, ведомственной подчиненности, места расположения и характера тех сведений и материалов, которыми они располагают. Последнее особенно важно для криминологического анализа обстановки.</w:t>
      </w:r>
    </w:p>
    <w:p w:rsidR="00351E64" w:rsidRDefault="00351E64" w:rsidP="00351E64">
      <w:pPr>
        <w:pStyle w:val="a3"/>
        <w:jc w:val="both"/>
      </w:pPr>
      <w:r>
        <w:t> </w:t>
      </w:r>
    </w:p>
    <w:p w:rsidR="00351E64" w:rsidRDefault="00351E64" w:rsidP="00351E64">
      <w:pPr>
        <w:pStyle w:val="a3"/>
        <w:jc w:val="both"/>
      </w:pPr>
      <w:r>
        <w:t>В-четвертых, методика предполагает создание перечня всех нормативных актов, регулирующих предупредительную работу среди подростков и молодежи. Таких актов ныне уже накопилось достаточное количество. Поэтому необходима их систематизация не только по датам, но и по основным группам правовых предписаний, содержащихся в них. Такая систематизация позволит определить все основные направления координационной деятельности участников профилактики. При этом следует иметь в виду, что в настоящее время многие важные стороны профилактики регулируются ведомственными нормативными актами, часть из которых носит общеобязательный характер. В каждом из видов профилактической деятельности (общей, специальной, индивидуальной) можно выделить и круг основных задач, от решения которых зависит эффективность скоординированной предупредительной работы.</w:t>
      </w:r>
    </w:p>
    <w:p w:rsidR="00351E64" w:rsidRDefault="00351E64" w:rsidP="00351E64">
      <w:pPr>
        <w:pStyle w:val="a3"/>
        <w:jc w:val="both"/>
      </w:pPr>
      <w:r>
        <w:t> </w:t>
      </w:r>
    </w:p>
    <w:p w:rsidR="00351E64" w:rsidRDefault="00351E64" w:rsidP="00351E64">
      <w:pPr>
        <w:pStyle w:val="a3"/>
        <w:jc w:val="both"/>
      </w:pPr>
      <w:r>
        <w:t>В-пятых, методическая оснащенность предполагает систематизацию всех объектов, связанных с возможностью использования наркотиков, с незаконным их оборотом, с классификацией наркотических средств и т.д.</w:t>
      </w:r>
    </w:p>
    <w:p w:rsidR="00351E64" w:rsidRDefault="00351E64" w:rsidP="00351E64">
      <w:pPr>
        <w:pStyle w:val="a3"/>
        <w:jc w:val="both"/>
      </w:pPr>
      <w:r>
        <w:t> </w:t>
      </w:r>
    </w:p>
    <w:p w:rsidR="00351E64" w:rsidRDefault="00351E64" w:rsidP="00351E64">
      <w:pPr>
        <w:pStyle w:val="a3"/>
        <w:jc w:val="both"/>
      </w:pPr>
      <w:r>
        <w:t xml:space="preserve">В-шестых, методика предполагает разработку </w:t>
      </w:r>
      <w:proofErr w:type="spellStart"/>
      <w:r>
        <w:t>научнообоснованной</w:t>
      </w:r>
      <w:proofErr w:type="spellEnd"/>
      <w:r>
        <w:t xml:space="preserve"> и подтвержденной практикой схемы криминологического анализа с использованием в ней конкретных сведений, характеризующих состояние наркомании среди подростков и молодежи. Такой </w:t>
      </w:r>
      <w:r>
        <w:lastRenderedPageBreak/>
        <w:t>анализ должен учитывать существующую систему всех наиболее типичных обстоятельств, способствующих наркомании.</w:t>
      </w:r>
    </w:p>
    <w:p w:rsidR="00351E64" w:rsidRDefault="00351E64" w:rsidP="00351E64">
      <w:pPr>
        <w:pStyle w:val="a3"/>
        <w:jc w:val="both"/>
      </w:pPr>
      <w:r>
        <w:t> </w:t>
      </w:r>
    </w:p>
    <w:p w:rsidR="00351E64" w:rsidRDefault="00351E64" w:rsidP="00351E64">
      <w:pPr>
        <w:pStyle w:val="a3"/>
        <w:jc w:val="both"/>
      </w:pPr>
      <w:r>
        <w:t>В-седьмых, методика предполагает разработку типового плана предупреждения наркомании и правонарушений на этой почве для участников профилактической деятельности.</w:t>
      </w:r>
    </w:p>
    <w:p w:rsidR="00351E64" w:rsidRDefault="00351E64" w:rsidP="00351E64">
      <w:pPr>
        <w:pStyle w:val="a3"/>
        <w:jc w:val="both"/>
      </w:pPr>
      <w:r>
        <w:t> </w:t>
      </w:r>
    </w:p>
    <w:p w:rsidR="00351E64" w:rsidRDefault="00351E64" w:rsidP="00351E64">
      <w:pPr>
        <w:pStyle w:val="a3"/>
        <w:jc w:val="both"/>
      </w:pPr>
      <w:r>
        <w:t>В-восьмых, методика должна предусмотреть разработку контрольных вопросов, на которые необходимо получить ответы при оценке результативности предпринятых мер участниками координации.</w:t>
      </w:r>
    </w:p>
    <w:p w:rsidR="00351E64" w:rsidRDefault="00351E64" w:rsidP="00351E64">
      <w:pPr>
        <w:pStyle w:val="a3"/>
        <w:jc w:val="both"/>
      </w:pPr>
      <w:r>
        <w:t> </w:t>
      </w:r>
    </w:p>
    <w:p w:rsidR="00351E64" w:rsidRDefault="00351E64" w:rsidP="00351E64">
      <w:pPr>
        <w:pStyle w:val="a3"/>
        <w:jc w:val="both"/>
      </w:pPr>
      <w:r>
        <w:t>Таков в самых общих чертах круг методических основ, требующих разработки в соответствии с Концепцией предупреждения наркомании среди подростков и молодежи. Для разработки концепции можно сформировать группу ученых и специалистов, профессионально владеющих этой проблемой.</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lastRenderedPageBreak/>
        <w:t>УГОЛОВНАЯ ОТВЕТСТВЕННОСТЬ ЗА ЭКОЛОГИЧЕСКИЕ ПРЕСТУПЛЕНИЯ</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 xml:space="preserve">С.М. </w:t>
      </w:r>
      <w:proofErr w:type="spellStart"/>
      <w:r w:rsidRPr="00351E64">
        <w:rPr>
          <w:rFonts w:ascii="Times New Roman" w:eastAsia="Times New Roman" w:hAnsi="Times New Roman" w:cs="Times New Roman"/>
          <w:b/>
          <w:bCs/>
          <w:sz w:val="24"/>
          <w:szCs w:val="24"/>
          <w:lang w:eastAsia="ru-RU"/>
        </w:rPr>
        <w:t>Сагитов</w:t>
      </w:r>
      <w:proofErr w:type="spellEnd"/>
      <w:r w:rsidRPr="00351E64">
        <w:rPr>
          <w:rFonts w:ascii="Times New Roman" w:eastAsia="Times New Roman" w:hAnsi="Times New Roman" w:cs="Times New Roman"/>
          <w:b/>
          <w:bCs/>
          <w:sz w:val="24"/>
          <w:szCs w:val="24"/>
          <w:lang w:eastAsia="ru-RU"/>
        </w:rPr>
        <w:t>, преподаватель, аспирант ТИСБИ</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Понятие преступления дано в Уголовном кодексе Российской Федерации, принятом Государственной Думой 24 мая 1996 года. Исходя из этого определения, экологическим преступлением следует считать виновно совершенное общественно опасное деяние, посягающее на установленный в Российской Федерации экологический правопорядок, экологическую безопасность общества и причиняющее вред окружающей среде и здоровью человека. Такая трактовка состава экологического преступления закреплена в ст. 85 Закона РСФСР об охране окружающей природной среды. Согласно Уголовному кодексу Российской Федерации основной его задачей наряду с охраной прав и свобод человека и гражданина, собственности и общественного порядка является охрана окружающей природной среды.</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 сегодняшний день здоровье человека в большей степени зависит от чистоты воды, воздуха, качества продуктов, которыми он питается, и, соответственно, от чистоты почвы. К сожалению, информации о количестве умерших в России из-за воздействия на здоровье неблагоприятных факторов окружающей среды встречать не приходилось. Однако продолжительность жизни мужчин в России в последние 20 лет сократилась с 70 до 57 лет. Особенно тревожным является состояние здоровья детей. Только 14% обследованных выборочно детей признаны практически здоровыми, у 50% обнаружены отклонения в состоянии здоровья, а 35% страдают хроническими заболеваниями. От 30 до 40% детских болезней связывают с загрязнением воздушной среды и потреблением недоброкачественной воды</w:t>
      </w:r>
      <w:hyperlink r:id="rId117" w:anchor="116" w:history="1">
        <w:r w:rsidRPr="00351E64">
          <w:rPr>
            <w:rFonts w:ascii="Times New Roman" w:eastAsia="Times New Roman" w:hAnsi="Times New Roman" w:cs="Times New Roman"/>
            <w:color w:val="0000FF"/>
            <w:sz w:val="24"/>
            <w:szCs w:val="24"/>
            <w:u w:val="single"/>
            <w:vertAlign w:val="superscript"/>
            <w:lang w:eastAsia="ru-RU"/>
          </w:rPr>
          <w:t>116</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Все составы преступлений сформулированы в действующем Уголовном кодексе РФ с точки зрения выполняемых ими функций, относящихся к природопользованию и охране окружающей природной среды. Но если мы хотим подчеркнуть социально-политическую сущность деяний, сгруппировать в одну общность и показать их виды, то логично взять в качестве основы систематизации непосредственный объект посягательства, который в экологических преступлениях предпочтительно рассматривать в связи с предметом преступления. С этих позиций все экологические преступления группируются следующим образом:</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Экологические преступления общего характера:</w:t>
      </w:r>
    </w:p>
    <w:p w:rsidR="00351E64" w:rsidRPr="00351E64" w:rsidRDefault="00351E64" w:rsidP="009472CE">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нарушение правил охраны окружающей среды при производстве работ (ст. 246); </w:t>
      </w:r>
    </w:p>
    <w:p w:rsidR="00351E64" w:rsidRPr="00351E64" w:rsidRDefault="00351E64" w:rsidP="009472CE">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нарушение правил обращения экологически опасных веществ и отходов (ст. 247); </w:t>
      </w:r>
    </w:p>
    <w:p w:rsidR="00351E64" w:rsidRPr="00351E64" w:rsidRDefault="00351E64" w:rsidP="009472CE">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нарушение правил безопасности при обращении с микробиологическими либо другими биологическими агентами или токсинами (ст. 248);</w:t>
      </w:r>
    </w:p>
    <w:p w:rsidR="00351E64" w:rsidRPr="00351E64" w:rsidRDefault="00351E64" w:rsidP="009472CE">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нарушение законодательства РФ о континентальном шельфе и об исключительной экономической зоне РФ (ст. 253);</w:t>
      </w:r>
    </w:p>
    <w:p w:rsidR="00351E64" w:rsidRPr="00351E64" w:rsidRDefault="00351E64" w:rsidP="009472CE">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нарушение режима особо охраняемых природных территорий и природных объектов (ст. 262).</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Данные преступления посягают на отношения по обеспечению экологической безопасности, охране и рациональному использованию компонентов природной среды в их совокупности.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Специальные экологические преступления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зависимости от содержания предмета и непосредственного объекта посягательства они делятся, в свою очередь, на подгруппы:</w:t>
      </w:r>
    </w:p>
    <w:p w:rsidR="00351E64" w:rsidRPr="00351E64" w:rsidRDefault="00351E64" w:rsidP="009472CE">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Преступления, посягающие на общественные отношения в области охраны и рационального использования земли, недр и обеспечения экологической безопасности: </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порча земли (ст. 254);</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нарушение правил охраны и использования недр (ст. 255). </w:t>
      </w:r>
    </w:p>
    <w:p w:rsidR="00351E64" w:rsidRPr="00351E64" w:rsidRDefault="00351E64" w:rsidP="009472CE">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Преступления, посягающие на общественные отношения в области охраны и рационального использования животного мира: </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незаконная добыча водных животных (ст. 256);</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нарушение правил охраны рыбных запасов (ст. 257);</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незаконная охота (ст. 258);</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нарушение ветеринарных правил (4.1. ст.249);</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уничтожение критических местообитаний для организмов, занесенных в Красную Книгу Российской Федерации (ст. 259).</w:t>
      </w:r>
    </w:p>
    <w:p w:rsidR="00351E64" w:rsidRPr="00351E64" w:rsidRDefault="00351E64" w:rsidP="009472CE">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Преступления, посягающие на общественные отношения по охране и рациональному использованию растительного мира: </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незаконная порубка деревьев и кустарников (ст. 260); </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нарушение правил, установленных для борьбы с болезнями и вредителями растений (ст. 256); </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уничтожение и повреждение лесов (ст. 261). </w:t>
      </w:r>
    </w:p>
    <w:p w:rsidR="00351E64" w:rsidRPr="00351E64" w:rsidRDefault="00351E64" w:rsidP="009472CE">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Преступления, посягающие на объективные отношения по охране и рациональному использованию вод и атмосферы, а также обеспечению экологической безопасности: </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загрязнение вод (ст. 250);</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загрязнение морской среды (ст. 252);</w:t>
      </w:r>
    </w:p>
    <w:p w:rsidR="00351E64" w:rsidRPr="00351E64" w:rsidRDefault="00351E64" w:rsidP="009472C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загрязнение атмосферы (ст. 251).</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 характеру экологические преступления можно разделить на:</w:t>
      </w:r>
    </w:p>
    <w:p w:rsidR="00351E64" w:rsidRPr="00351E64" w:rsidRDefault="00351E64" w:rsidP="009472CE">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преступления, связанные с незаконным захватом (завладением) природных ресурсов (ст. 253, 256, 258, 260).</w:t>
      </w:r>
    </w:p>
    <w:p w:rsidR="00351E64" w:rsidRPr="00351E64" w:rsidRDefault="00351E64" w:rsidP="009472CE">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преступления, связанные с негативным воздействием на природную среду, ухудшением ее качества (ст. 246, 247, 248, 249, 250, 251, 252, 254, 255, 257, 259, 261, 262).</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 xml:space="preserve">К специальным экологическим составам </w:t>
      </w:r>
      <w:r w:rsidRPr="00351E64">
        <w:rPr>
          <w:rFonts w:ascii="Times New Roman" w:eastAsia="Times New Roman" w:hAnsi="Times New Roman" w:cs="Times New Roman"/>
          <w:sz w:val="24"/>
          <w:szCs w:val="24"/>
          <w:lang w:eastAsia="ru-RU"/>
        </w:rPr>
        <w:t xml:space="preserve">относится ряд составов, сформулированных в статьях, содержащихся в других главах Уголовного кодекса, </w:t>
      </w:r>
      <w:proofErr w:type="gramStart"/>
      <w:r w:rsidRPr="00351E64">
        <w:rPr>
          <w:rFonts w:ascii="Times New Roman" w:eastAsia="Times New Roman" w:hAnsi="Times New Roman" w:cs="Times New Roman"/>
          <w:sz w:val="24"/>
          <w:szCs w:val="24"/>
          <w:lang w:eastAsia="ru-RU"/>
        </w:rPr>
        <w:t>например</w:t>
      </w:r>
      <w:proofErr w:type="gramEnd"/>
      <w:r w:rsidRPr="00351E64">
        <w:rPr>
          <w:rFonts w:ascii="Times New Roman" w:eastAsia="Times New Roman" w:hAnsi="Times New Roman" w:cs="Times New Roman"/>
          <w:sz w:val="24"/>
          <w:szCs w:val="24"/>
          <w:lang w:eastAsia="ru-RU"/>
        </w:rPr>
        <w:t>:</w:t>
      </w:r>
    </w:p>
    <w:p w:rsidR="00351E64" w:rsidRPr="00351E64" w:rsidRDefault="00351E64" w:rsidP="009472CE">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нарушение правил безопасности на объектах атомной энергетики (ст. 215);</w:t>
      </w:r>
    </w:p>
    <w:p w:rsidR="00351E64" w:rsidRPr="00351E64" w:rsidRDefault="00351E64" w:rsidP="009472CE">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сокрытие информации об обстоятельствах, создающих опасность для жизни и здоровья людей (ст. 237);</w:t>
      </w:r>
    </w:p>
    <w:p w:rsidR="00351E64" w:rsidRPr="00351E64" w:rsidRDefault="00351E64" w:rsidP="009472CE">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жестокое обращение с животными (ст. 245);</w:t>
      </w:r>
    </w:p>
    <w:p w:rsidR="00351E64" w:rsidRPr="00351E64" w:rsidRDefault="00351E64" w:rsidP="009472CE">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экоцид (ст. 358).</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Смежными составами преступлений</w:t>
      </w:r>
      <w:r w:rsidRPr="00351E64">
        <w:rPr>
          <w:rFonts w:ascii="Times New Roman" w:eastAsia="Times New Roman" w:hAnsi="Times New Roman" w:cs="Times New Roman"/>
          <w:sz w:val="24"/>
          <w:szCs w:val="24"/>
          <w:lang w:eastAsia="ru-RU"/>
        </w:rPr>
        <w:t xml:space="preserve"> в области природопользования и охраны окружающей среды следует считать те из них, которые выполняют экологические функции лишь при определенных обстоятельствах объективного порядка:</w:t>
      </w:r>
    </w:p>
    <w:p w:rsidR="00351E64" w:rsidRPr="00351E64" w:rsidRDefault="00351E64" w:rsidP="009472CE">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отказ в предоставлении гражданину информации (ст. 140); </w:t>
      </w:r>
    </w:p>
    <w:p w:rsidR="00351E64" w:rsidRPr="00351E64" w:rsidRDefault="00351E64" w:rsidP="009472CE">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регистрация незаконных сделок с землей (ст. 170);</w:t>
      </w:r>
    </w:p>
    <w:p w:rsidR="00351E64" w:rsidRPr="00351E64" w:rsidRDefault="00351E64" w:rsidP="009472CE">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терроризм (ст. 205);</w:t>
      </w:r>
    </w:p>
    <w:p w:rsidR="00351E64" w:rsidRPr="00351E64" w:rsidRDefault="00351E64" w:rsidP="009472CE">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нарушение правил безопасности при проведении горных, строительных и иных работ (ст. 216);</w:t>
      </w:r>
    </w:p>
    <w:p w:rsidR="00351E64" w:rsidRPr="00351E64" w:rsidRDefault="00351E64" w:rsidP="009472CE">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нарушение правил безопасности на взрывоопасных объектах (ст. 217).</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Кроме вышеперечисленных, при определенных обстоятельствах есть составы, которые могут быть использованы в целях охраны окружающей среды, хотя не являются по своей природе экологическими. Обозначим их как дополнительные.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Дополнительные:</w:t>
      </w:r>
    </w:p>
    <w:p w:rsidR="00351E64" w:rsidRPr="00351E64" w:rsidRDefault="00351E64" w:rsidP="009472C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злоупотребление должностными полномочиями (ст. 258);</w:t>
      </w:r>
    </w:p>
    <w:p w:rsidR="00351E64" w:rsidRPr="00351E64" w:rsidRDefault="00351E64" w:rsidP="009472C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превышение должностных полномочий (ст. 286);</w:t>
      </w:r>
    </w:p>
    <w:p w:rsidR="00351E64" w:rsidRPr="00351E64" w:rsidRDefault="00351E64" w:rsidP="009472C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служебный подлог (ст. 292);</w:t>
      </w:r>
    </w:p>
    <w:p w:rsidR="00351E64" w:rsidRPr="00351E64" w:rsidRDefault="00351E64" w:rsidP="009472C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халатность (ст. 293).</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Предусмотренные этими статьями преступления могут применяться напрямую к тем должностным лицам, которые своими действиями или бездействием способствовали причинению вреда окружающей среде.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Степень общественной опасности экологических преступлений высока, это нашло свое отражение в санкциях рассматриваемых статей Уголовного кодекса РФ.</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За совершение экологических преступлений предусматриваются следующие виды наказаний:</w:t>
      </w:r>
    </w:p>
    <w:p w:rsidR="00351E64" w:rsidRPr="00351E64" w:rsidRDefault="00351E64" w:rsidP="009472CE">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Штраф.</w:t>
      </w:r>
      <w:r w:rsidRPr="00351E64">
        <w:rPr>
          <w:rFonts w:ascii="Times New Roman" w:eastAsia="Times New Roman" w:hAnsi="Times New Roman" w:cs="Times New Roman"/>
          <w:sz w:val="24"/>
          <w:szCs w:val="24"/>
          <w:lang w:eastAsia="ru-RU"/>
        </w:rPr>
        <w:t xml:space="preserve"> Наказание в виде штрафа предусмотрено практически за все экологические преступления. Его размер зависит от характера совершенного преступления. Минимальный размер штрафа - 200 минимальных размеров оплаты труда, максимальный - до 700.</w:t>
      </w:r>
    </w:p>
    <w:p w:rsidR="00351E64" w:rsidRPr="00351E64" w:rsidRDefault="00351E64" w:rsidP="009472CE">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Лишение права занимать определенные должности или заниматься определенной деятельностью</w:t>
      </w:r>
      <w:r w:rsidRPr="00351E64">
        <w:rPr>
          <w:rFonts w:ascii="Times New Roman" w:eastAsia="Times New Roman" w:hAnsi="Times New Roman" w:cs="Times New Roman"/>
          <w:sz w:val="24"/>
          <w:szCs w:val="24"/>
          <w:lang w:eastAsia="ru-RU"/>
        </w:rPr>
        <w:t>. Такое наказание предусмотрено за ряд экологических преступлений. Устанавливается также и срок действия данного наказания.</w:t>
      </w:r>
    </w:p>
    <w:p w:rsidR="00351E64" w:rsidRPr="00351E64" w:rsidRDefault="00351E64" w:rsidP="009472CE">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Обязательные работы.</w:t>
      </w:r>
      <w:r w:rsidRPr="00351E64">
        <w:rPr>
          <w:rFonts w:ascii="Times New Roman" w:eastAsia="Times New Roman" w:hAnsi="Times New Roman" w:cs="Times New Roman"/>
          <w:sz w:val="24"/>
          <w:szCs w:val="24"/>
          <w:lang w:eastAsia="ru-RU"/>
        </w:rPr>
        <w:t xml:space="preserve"> Заключаются в выполнении осужденным в свободное от основной работы или учебы время бесплатных общественных работ, вид которых определяется органами местного самоуправления. В частности, этот вид наказания предусмотрен за уничтожение или повреждение лесов (до 240 часов).</w:t>
      </w:r>
    </w:p>
    <w:p w:rsidR="00351E64" w:rsidRPr="00351E64" w:rsidRDefault="00351E64" w:rsidP="009472CE">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Исправительные работы</w:t>
      </w:r>
      <w:r w:rsidRPr="00351E64">
        <w:rPr>
          <w:rFonts w:ascii="Times New Roman" w:eastAsia="Times New Roman" w:hAnsi="Times New Roman" w:cs="Times New Roman"/>
          <w:sz w:val="24"/>
          <w:szCs w:val="24"/>
          <w:lang w:eastAsia="ru-RU"/>
        </w:rPr>
        <w:t>. Отбываются по месту работы осужденного; при этом из его заработка производятся удержания в доход государства в размере, установленном приговором суда, в пределах от 5 до 20 %. Такое наказание предусмотрено, к примеру, за нарушение ветеринарных правил и правил, установленных для борьбы с болезнями и вредителями растений (до 1 года); за порчу земли (до 2 лет); за нарушение режима особо охраняемых природных территорий и природных объектов (до 2 лет).</w:t>
      </w:r>
    </w:p>
    <w:p w:rsidR="00351E64" w:rsidRPr="00351E64" w:rsidRDefault="00351E64" w:rsidP="009472CE">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Ограничение свободы</w:t>
      </w:r>
      <w:r w:rsidRPr="00351E64">
        <w:rPr>
          <w:rFonts w:ascii="Times New Roman" w:eastAsia="Times New Roman" w:hAnsi="Times New Roman" w:cs="Times New Roman"/>
          <w:sz w:val="24"/>
          <w:szCs w:val="24"/>
          <w:lang w:eastAsia="ru-RU"/>
        </w:rPr>
        <w:t>. Заключается в содержании осужденного, достигшего к моменту вынесения судом приговора 18-летнего возраста, в специальном учреждении без изоляции от общества в условиях осуществления за ним надзора. Такое наказание предусмотрено за порчу земли (до 3 лет); уничтожение критических местообитаний для организмов, занесенных в Красную Книгу РФ (до 3 лет).</w:t>
      </w:r>
    </w:p>
    <w:p w:rsidR="00351E64" w:rsidRPr="00351E64" w:rsidRDefault="00351E64" w:rsidP="009472CE">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Арест.</w:t>
      </w:r>
      <w:r w:rsidRPr="00351E64">
        <w:rPr>
          <w:rFonts w:ascii="Times New Roman" w:eastAsia="Times New Roman" w:hAnsi="Times New Roman" w:cs="Times New Roman"/>
          <w:sz w:val="24"/>
          <w:szCs w:val="24"/>
          <w:lang w:eastAsia="ru-RU"/>
        </w:rPr>
        <w:t xml:space="preserve"> Заключается в содержании осужденного в условиях строгой изоляции от общества. Предусматривается за загрязнение вод (до 3 месяцев); за загрязнение морской среды (до 4 месяцев).</w:t>
      </w:r>
    </w:p>
    <w:p w:rsidR="00351E64" w:rsidRPr="00351E64" w:rsidRDefault="00351E64" w:rsidP="009472CE">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Лишение свободы на определенный срок.</w:t>
      </w:r>
      <w:r w:rsidRPr="00351E64">
        <w:rPr>
          <w:rFonts w:ascii="Times New Roman" w:eastAsia="Times New Roman" w:hAnsi="Times New Roman" w:cs="Times New Roman"/>
          <w:sz w:val="24"/>
          <w:szCs w:val="24"/>
          <w:lang w:eastAsia="ru-RU"/>
        </w:rPr>
        <w:t xml:space="preserve"> Данный вид наказания устанавливается за многие преступления, в том числе за: загрязнение вод (до 5 лет); загрязнение атмосферы (до 3 лет); порчу земли (до 3 лет); уничтожение и повреждение лесов (до 8 лет); нарушение правил охраны окружающей среды при производстве работ (до 5 лет); нарушение Правил обращения экологически опасных веществ и отходов (от 3 до 8 лет); нарушение Правил безопасности при обращении с микробиологическими либо другими биологическими агентами или токсинами (от 2 до 5 лет); уничтожение критических местообитаний для организмов, занесенных в Красную Книгу Российской Федерации (до 3 лет). Наиболее строгая уголовная ответственность предусмотрена за экоцид, т.е. массовое уничтожение растительного и животного мира, отравление атмосферы или водных ресурсов, а также совершение иных действий, способных вызвать экологическую катастрофу. Данное преступление наказывается лишением свободы на срок от 12 до 20 лет.</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Таким образом, ответственность за экологические преступления достаточно разнообразна и использует всю палитру возможных видов уголовного наказания.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Уголовный закон предусматривает в области экологии обе формы вины нарушителя - умысел и неосторожность. Есть составы, которые предусматривают только умышленную вину -</w:t>
      </w:r>
      <w:r w:rsidRPr="00351E64">
        <w:rPr>
          <w:rFonts w:ascii="Times New Roman" w:eastAsia="Times New Roman" w:hAnsi="Times New Roman" w:cs="Times New Roman"/>
          <w:i/>
          <w:iCs/>
          <w:sz w:val="24"/>
          <w:szCs w:val="24"/>
          <w:lang w:eastAsia="ru-RU"/>
        </w:rPr>
        <w:t xml:space="preserve"> незаконная охота, незаконная добыча водных животных и растений и т.д.</w:t>
      </w:r>
      <w:r w:rsidRPr="00351E64">
        <w:rPr>
          <w:rFonts w:ascii="Times New Roman" w:eastAsia="Times New Roman" w:hAnsi="Times New Roman" w:cs="Times New Roman"/>
          <w:sz w:val="24"/>
          <w:szCs w:val="24"/>
          <w:lang w:eastAsia="ru-RU"/>
        </w:rPr>
        <w:t xml:space="preserve"> Есть составы, когда преступление может быть совершено только по неосторожности:</w:t>
      </w:r>
      <w:r w:rsidRPr="00351E64">
        <w:rPr>
          <w:rFonts w:ascii="Times New Roman" w:eastAsia="Times New Roman" w:hAnsi="Times New Roman" w:cs="Times New Roman"/>
          <w:i/>
          <w:iCs/>
          <w:sz w:val="24"/>
          <w:szCs w:val="24"/>
          <w:lang w:eastAsia="ru-RU"/>
        </w:rPr>
        <w:t xml:space="preserve"> уничтожение лесного массива в результате неосторожного обращения с огнем</w:t>
      </w:r>
      <w:r w:rsidRPr="00351E64">
        <w:rPr>
          <w:rFonts w:ascii="Times New Roman" w:eastAsia="Times New Roman" w:hAnsi="Times New Roman" w:cs="Times New Roman"/>
          <w:sz w:val="24"/>
          <w:szCs w:val="24"/>
          <w:lang w:eastAsia="ru-RU"/>
        </w:rPr>
        <w:t xml:space="preserve">. Наконец, имеются составы экологических преступлений, где существует вина в обеих формах, - </w:t>
      </w:r>
      <w:r w:rsidRPr="00351E64">
        <w:rPr>
          <w:rFonts w:ascii="Times New Roman" w:eastAsia="Times New Roman" w:hAnsi="Times New Roman" w:cs="Times New Roman"/>
          <w:i/>
          <w:iCs/>
          <w:sz w:val="24"/>
          <w:szCs w:val="24"/>
          <w:lang w:eastAsia="ru-RU"/>
        </w:rPr>
        <w:t>загрязнение атмосферы и водоемов, загрязнение морской среды.</w:t>
      </w:r>
      <w:r w:rsidRPr="00351E64">
        <w:rPr>
          <w:rFonts w:ascii="Times New Roman" w:eastAsia="Times New Roman" w:hAnsi="Times New Roman" w:cs="Times New Roman"/>
          <w:sz w:val="24"/>
          <w:szCs w:val="24"/>
          <w:lang w:eastAsia="ru-RU"/>
        </w:rPr>
        <w:t xml:space="preserve"> Ответственность за экологические преступления могут нести физические, вменяемые лица, достигшие 16-летнего возраста. В некоторых статьях предусмотрен специальный субъект - лицо, использующее служебное положение (ч. 3. ст. 256, например).</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Оценивая практику применения уголовной ответственности за экологические преступления, специалисты </w:t>
      </w:r>
      <w:proofErr w:type="spellStart"/>
      <w:proofErr w:type="gramStart"/>
      <w:r w:rsidRPr="00351E64">
        <w:rPr>
          <w:rFonts w:ascii="Times New Roman" w:eastAsia="Times New Roman" w:hAnsi="Times New Roman" w:cs="Times New Roman"/>
          <w:sz w:val="24"/>
          <w:szCs w:val="24"/>
          <w:lang w:eastAsia="ru-RU"/>
        </w:rPr>
        <w:t>отмеча</w:t>
      </w:r>
      <w:proofErr w:type="spellEnd"/>
      <w:r w:rsidRPr="00351E64">
        <w:rPr>
          <w:rFonts w:ascii="Times New Roman" w:eastAsia="Times New Roman" w:hAnsi="Times New Roman" w:cs="Times New Roman"/>
          <w:sz w:val="24"/>
          <w:szCs w:val="24"/>
          <w:lang w:eastAsia="ru-RU"/>
        </w:rPr>
        <w:t>-ют</w:t>
      </w:r>
      <w:proofErr w:type="gramEnd"/>
      <w:r w:rsidRPr="00351E64">
        <w:rPr>
          <w:rFonts w:ascii="Times New Roman" w:eastAsia="Times New Roman" w:hAnsi="Times New Roman" w:cs="Times New Roman"/>
          <w:sz w:val="24"/>
          <w:szCs w:val="24"/>
          <w:lang w:eastAsia="ru-RU"/>
        </w:rPr>
        <w:t xml:space="preserve"> ее низкую эффективность. Так, уголовные дела о самых массовых и опасных нарушениях - загрязнении водного и воздушного бассейнов - составляет 0,96% общего числа экологических преступлений; загрязнение земли - 0,75%. Применяются в основном нормы об ответственности за преступления и иные правонарушения, связанные с незаконным захватом природных ресурсов (незаконная охота, незаконный лов рыбы, незаконная порубка леса), так называемые "браконьерские дела". В чем причины подобного противоречия? Их две - экономическая и организационная.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Экономическая:</w:t>
      </w:r>
      <w:r w:rsidRPr="00351E64">
        <w:rPr>
          <w:rFonts w:ascii="Times New Roman" w:eastAsia="Times New Roman" w:hAnsi="Times New Roman" w:cs="Times New Roman"/>
          <w:sz w:val="24"/>
          <w:szCs w:val="24"/>
          <w:lang w:eastAsia="ru-RU"/>
        </w:rPr>
        <w:t xml:space="preserve"> большинство предприятий - загрязнителей окружающей среды по своей технической оснащенности не в состоянии выполнить предъявленные им со стороны Закона требования экологической безопасности. У государства, как и у предприятий, нет достаточных средств для надлежащей охраны окружающей среды.</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Организационная</w:t>
      </w:r>
      <w:r w:rsidRPr="00351E64">
        <w:rPr>
          <w:rFonts w:ascii="Times New Roman" w:eastAsia="Times New Roman" w:hAnsi="Times New Roman" w:cs="Times New Roman"/>
          <w:sz w:val="24"/>
          <w:szCs w:val="24"/>
          <w:lang w:eastAsia="ru-RU"/>
        </w:rPr>
        <w:t xml:space="preserve"> причина проявляется прежде всего в отсутствии четкой организации системы экологического контроля по пресечению и предупреждению экологических правонарушений.</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lastRenderedPageBreak/>
        <w:t>ПРИНЦИПЫ ПОСТРОЕНИЯ СИСТЕМЫ УГОЛОВНЫХ НАКАЗАНИЙ</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 xml:space="preserve">А.И. </w:t>
      </w:r>
      <w:proofErr w:type="spellStart"/>
      <w:r w:rsidRPr="00351E64">
        <w:rPr>
          <w:rFonts w:ascii="Times New Roman" w:eastAsia="Times New Roman" w:hAnsi="Times New Roman" w:cs="Times New Roman"/>
          <w:b/>
          <w:bCs/>
          <w:sz w:val="24"/>
          <w:szCs w:val="24"/>
          <w:lang w:eastAsia="ru-RU"/>
        </w:rPr>
        <w:t>Сакаев</w:t>
      </w:r>
      <w:proofErr w:type="spellEnd"/>
      <w:r w:rsidRPr="00351E64">
        <w:rPr>
          <w:rFonts w:ascii="Times New Roman" w:eastAsia="Times New Roman" w:hAnsi="Times New Roman" w:cs="Times New Roman"/>
          <w:b/>
          <w:bCs/>
          <w:sz w:val="24"/>
          <w:szCs w:val="24"/>
          <w:lang w:eastAsia="ru-RU"/>
        </w:rPr>
        <w:t xml:space="preserve">, </w:t>
      </w:r>
      <w:proofErr w:type="spellStart"/>
      <w:r w:rsidRPr="00351E64">
        <w:rPr>
          <w:rFonts w:ascii="Times New Roman" w:eastAsia="Times New Roman" w:hAnsi="Times New Roman" w:cs="Times New Roman"/>
          <w:b/>
          <w:bCs/>
          <w:sz w:val="24"/>
          <w:szCs w:val="24"/>
          <w:lang w:eastAsia="ru-RU"/>
        </w:rPr>
        <w:t>к.ю.н</w:t>
      </w:r>
      <w:proofErr w:type="spellEnd"/>
      <w:r w:rsidRPr="00351E64">
        <w:rPr>
          <w:rFonts w:ascii="Times New Roman" w:eastAsia="Times New Roman" w:hAnsi="Times New Roman" w:cs="Times New Roman"/>
          <w:b/>
          <w:bCs/>
          <w:sz w:val="24"/>
          <w:szCs w:val="24"/>
          <w:lang w:eastAsia="ru-RU"/>
        </w:rPr>
        <w:t>., ТИСБИ</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доктрине уголовного права сегодняшнего дня практически нет монографических исследований по проблеме формирования системы наказаний и принципов ее построения</w:t>
      </w:r>
      <w:hyperlink r:id="rId118" w:anchor="117" w:history="1">
        <w:proofErr w:type="gramStart"/>
        <w:r w:rsidRPr="00351E64">
          <w:rPr>
            <w:rFonts w:ascii="Times New Roman" w:eastAsia="Times New Roman" w:hAnsi="Times New Roman" w:cs="Times New Roman"/>
            <w:color w:val="0000FF"/>
            <w:sz w:val="24"/>
            <w:szCs w:val="24"/>
            <w:u w:val="single"/>
            <w:vertAlign w:val="superscript"/>
            <w:lang w:eastAsia="ru-RU"/>
          </w:rPr>
          <w:t>117</w:t>
        </w:r>
      </w:hyperlink>
      <w:r w:rsidRPr="00351E64">
        <w:rPr>
          <w:rFonts w:ascii="Times New Roman" w:eastAsia="Times New Roman" w:hAnsi="Times New Roman" w:cs="Times New Roman"/>
          <w:sz w:val="24"/>
          <w:szCs w:val="24"/>
          <w:lang w:eastAsia="ru-RU"/>
        </w:rPr>
        <w:t xml:space="preserve"> .</w:t>
      </w:r>
      <w:proofErr w:type="gramEnd"/>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Поэтому исследование принципов построения системы видов уголовных наказаний имеет существенное как теоретическое, так и практическое значение. Сам термин "принцип" происходит от латинского слова "</w:t>
      </w:r>
      <w:proofErr w:type="spellStart"/>
      <w:r w:rsidRPr="00351E64">
        <w:rPr>
          <w:rFonts w:ascii="Times New Roman" w:eastAsia="Times New Roman" w:hAnsi="Times New Roman" w:cs="Times New Roman"/>
          <w:sz w:val="24"/>
          <w:szCs w:val="24"/>
          <w:lang w:eastAsia="ru-RU"/>
        </w:rPr>
        <w:t>рrincipium</w:t>
      </w:r>
      <w:proofErr w:type="spellEnd"/>
      <w:r w:rsidRPr="00351E64">
        <w:rPr>
          <w:rFonts w:ascii="Times New Roman" w:eastAsia="Times New Roman" w:hAnsi="Times New Roman" w:cs="Times New Roman"/>
          <w:sz w:val="24"/>
          <w:szCs w:val="24"/>
          <w:lang w:eastAsia="ru-RU"/>
        </w:rPr>
        <w:t xml:space="preserve">", означающего "основа", первоначало, </w:t>
      </w:r>
      <w:proofErr w:type="spellStart"/>
      <w:r w:rsidRPr="00351E64">
        <w:rPr>
          <w:rFonts w:ascii="Times New Roman" w:eastAsia="Times New Roman" w:hAnsi="Times New Roman" w:cs="Times New Roman"/>
          <w:sz w:val="24"/>
          <w:szCs w:val="24"/>
          <w:lang w:eastAsia="ru-RU"/>
        </w:rPr>
        <w:t>основоположение</w:t>
      </w:r>
      <w:proofErr w:type="spellEnd"/>
      <w:r w:rsidRPr="00351E64">
        <w:rPr>
          <w:rFonts w:ascii="Times New Roman" w:eastAsia="Times New Roman" w:hAnsi="Times New Roman" w:cs="Times New Roman"/>
          <w:sz w:val="24"/>
          <w:szCs w:val="24"/>
          <w:lang w:eastAsia="ru-RU"/>
        </w:rPr>
        <w:t>, руководящая идея, основное правило поведения, действия</w:t>
      </w:r>
      <w:hyperlink r:id="rId119" w:anchor="118" w:history="1">
        <w:proofErr w:type="gramStart"/>
        <w:r w:rsidRPr="00351E64">
          <w:rPr>
            <w:rFonts w:ascii="Times New Roman" w:eastAsia="Times New Roman" w:hAnsi="Times New Roman" w:cs="Times New Roman"/>
            <w:color w:val="0000FF"/>
            <w:sz w:val="24"/>
            <w:szCs w:val="24"/>
            <w:u w:val="single"/>
            <w:vertAlign w:val="superscript"/>
            <w:lang w:eastAsia="ru-RU"/>
          </w:rPr>
          <w:t>118</w:t>
        </w:r>
      </w:hyperlink>
      <w:r w:rsidRPr="00351E64">
        <w:rPr>
          <w:rFonts w:ascii="Times New Roman" w:eastAsia="Times New Roman" w:hAnsi="Times New Roman" w:cs="Times New Roman"/>
          <w:sz w:val="24"/>
          <w:szCs w:val="24"/>
          <w:lang w:eastAsia="ru-RU"/>
        </w:rPr>
        <w:t xml:space="preserve"> .</w:t>
      </w:r>
      <w:proofErr w:type="gramEnd"/>
      <w:r w:rsidRPr="00351E64">
        <w:rPr>
          <w:rFonts w:ascii="Times New Roman" w:eastAsia="Times New Roman" w:hAnsi="Times New Roman" w:cs="Times New Roman"/>
          <w:sz w:val="24"/>
          <w:szCs w:val="24"/>
          <w:lang w:eastAsia="ru-RU"/>
        </w:rPr>
        <w:t xml:space="preserve"> Термин "принцип" в современных условиях понимается в нескольких значениях:</w:t>
      </w:r>
    </w:p>
    <w:p w:rsidR="00351E64" w:rsidRPr="00351E64" w:rsidRDefault="00351E64" w:rsidP="009472CE">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как основное исходное положение какой-либо теории, учения, науки, мировоззрения, политической организации;</w:t>
      </w:r>
    </w:p>
    <w:p w:rsidR="00351E64" w:rsidRPr="00351E64" w:rsidRDefault="00351E64" w:rsidP="009472CE">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как внутреннее убеждение человека, определяющее его отношение к действительности;</w:t>
      </w:r>
    </w:p>
    <w:p w:rsidR="00351E64" w:rsidRPr="00351E64" w:rsidRDefault="00351E64" w:rsidP="009472CE">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как основа устройства или действия какого-либо прибора, машины и т. п.</w:t>
      </w:r>
      <w:hyperlink r:id="rId120" w:anchor="119" w:history="1">
        <w:r w:rsidRPr="00351E64">
          <w:rPr>
            <w:rFonts w:ascii="Times New Roman" w:eastAsia="Times New Roman" w:hAnsi="Times New Roman" w:cs="Times New Roman"/>
            <w:color w:val="0000FF"/>
            <w:sz w:val="24"/>
            <w:szCs w:val="24"/>
            <w:u w:val="single"/>
            <w:vertAlign w:val="superscript"/>
            <w:lang w:eastAsia="ru-RU"/>
          </w:rPr>
          <w:t>119</w:t>
        </w:r>
      </w:hyperlink>
      <w:r w:rsidRPr="00351E64">
        <w:rPr>
          <w:rFonts w:ascii="Times New Roman" w:eastAsia="Times New Roman" w:hAnsi="Times New Roman" w:cs="Times New Roman"/>
          <w:sz w:val="24"/>
          <w:szCs w:val="24"/>
          <w:lang w:eastAsia="ru-RU"/>
        </w:rPr>
        <w:t xml:space="preserve">.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1E64">
        <w:rPr>
          <w:rFonts w:ascii="Times New Roman" w:eastAsia="Times New Roman" w:hAnsi="Times New Roman" w:cs="Times New Roman"/>
          <w:sz w:val="24"/>
          <w:szCs w:val="24"/>
          <w:lang w:eastAsia="ru-RU"/>
        </w:rPr>
        <w:t>Ф.Энгельс</w:t>
      </w:r>
      <w:proofErr w:type="spellEnd"/>
      <w:r w:rsidRPr="00351E64">
        <w:rPr>
          <w:rFonts w:ascii="Times New Roman" w:eastAsia="Times New Roman" w:hAnsi="Times New Roman" w:cs="Times New Roman"/>
          <w:sz w:val="24"/>
          <w:szCs w:val="24"/>
          <w:lang w:eastAsia="ru-RU"/>
        </w:rPr>
        <w:t xml:space="preserve"> писал, что принципы "не исходный пункт исследования, а его заключительный результат; эти принципы не применяются к природе и к человеческой истории, а абстрагируются из них; не природа и человечество сообразуются с принципами, а, наоборот, принципы верны лишь постольку, поскольку они соответствуют природе и истории"</w:t>
      </w:r>
      <w:hyperlink r:id="rId121" w:anchor="120" w:history="1">
        <w:r w:rsidRPr="00351E64">
          <w:rPr>
            <w:rFonts w:ascii="Times New Roman" w:eastAsia="Times New Roman" w:hAnsi="Times New Roman" w:cs="Times New Roman"/>
            <w:color w:val="0000FF"/>
            <w:sz w:val="24"/>
            <w:szCs w:val="24"/>
            <w:u w:val="single"/>
            <w:lang w:eastAsia="ru-RU"/>
          </w:rPr>
          <w:t>120</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Таким образом, принципы построения системы видов уголовных наказаний есть ни что иное, как отражение в теории уголовного права основополагающих идей и положений, которыми руководствуются законодатели при построении системы уголовных наказаний в тот или иной исторический период законотворчества. Принципы построения системы наказаний не являются и не могут быть раз и навсегда данными основополагающими идеями (или положениями), они динамичны или изменяемы в зависимости от уголовной политики государства в борьбе с преступностью в тот или иной период его функционирования, целей наказания, религиозных, нравственных воззрений и культуры народа. Однако они совпадают в одном - всегда более или менее адекватно отражают </w:t>
      </w:r>
      <w:proofErr w:type="spellStart"/>
      <w:r w:rsidRPr="00351E64">
        <w:rPr>
          <w:rFonts w:ascii="Times New Roman" w:eastAsia="Times New Roman" w:hAnsi="Times New Roman" w:cs="Times New Roman"/>
          <w:sz w:val="24"/>
          <w:szCs w:val="24"/>
          <w:lang w:eastAsia="ru-RU"/>
        </w:rPr>
        <w:t>гуманистичные</w:t>
      </w:r>
      <w:proofErr w:type="spellEnd"/>
      <w:r w:rsidRPr="00351E64">
        <w:rPr>
          <w:rFonts w:ascii="Times New Roman" w:eastAsia="Times New Roman" w:hAnsi="Times New Roman" w:cs="Times New Roman"/>
          <w:sz w:val="24"/>
          <w:szCs w:val="24"/>
          <w:lang w:eastAsia="ru-RU"/>
        </w:rPr>
        <w:t xml:space="preserve"> общечеловеческие ценности (или мировой опыт) в использовании уголовного наказания как средства борьбы с преступностью. В доктрине уголовного права попытки обобщить принципы построения системы уголовных наказаний предпринимали как представители отечественной науки уголовного права досоветского периода, так и советские криминалисты. Этого вопроса касались и зарубежные криминалисты, однако их научные суждения и рекомендации по этому вопросу нельзя считать удачными. Ведущие </w:t>
      </w:r>
      <w:r w:rsidRPr="00351E64">
        <w:rPr>
          <w:rFonts w:ascii="Times New Roman" w:eastAsia="Times New Roman" w:hAnsi="Times New Roman" w:cs="Times New Roman"/>
          <w:sz w:val="24"/>
          <w:szCs w:val="24"/>
          <w:lang w:eastAsia="ru-RU"/>
        </w:rPr>
        <w:lastRenderedPageBreak/>
        <w:t>криминалисты досоветской России относительно принципов построения системы наказаний высказывали различные взгляды.</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Так, </w:t>
      </w:r>
      <w:proofErr w:type="spellStart"/>
      <w:r w:rsidRPr="00351E64">
        <w:rPr>
          <w:rFonts w:ascii="Times New Roman" w:eastAsia="Times New Roman" w:hAnsi="Times New Roman" w:cs="Times New Roman"/>
          <w:sz w:val="24"/>
          <w:szCs w:val="24"/>
          <w:lang w:eastAsia="ru-RU"/>
        </w:rPr>
        <w:t>Познышев</w:t>
      </w:r>
      <w:proofErr w:type="spellEnd"/>
      <w:r w:rsidRPr="00351E64">
        <w:rPr>
          <w:rFonts w:ascii="Times New Roman" w:eastAsia="Times New Roman" w:hAnsi="Times New Roman" w:cs="Times New Roman"/>
          <w:sz w:val="24"/>
          <w:szCs w:val="24"/>
          <w:lang w:eastAsia="ru-RU"/>
        </w:rPr>
        <w:t xml:space="preserve"> С.В. считал, что система (лестница) наказаний должна строиться с учетом ряда требований: </w:t>
      </w:r>
      <w:r w:rsidRPr="00351E64">
        <w:rPr>
          <w:rFonts w:ascii="Times New Roman" w:eastAsia="Times New Roman" w:hAnsi="Times New Roman" w:cs="Times New Roman"/>
          <w:b/>
          <w:bCs/>
          <w:i/>
          <w:iCs/>
          <w:sz w:val="24"/>
          <w:szCs w:val="24"/>
          <w:lang w:eastAsia="ru-RU"/>
        </w:rPr>
        <w:t>наказание должно обладать в достаточной мере репрессивной силой</w:t>
      </w:r>
      <w:r w:rsidRPr="00351E64">
        <w:rPr>
          <w:rFonts w:ascii="Times New Roman" w:eastAsia="Times New Roman" w:hAnsi="Times New Roman" w:cs="Times New Roman"/>
          <w:sz w:val="24"/>
          <w:szCs w:val="24"/>
          <w:lang w:eastAsia="ru-RU"/>
        </w:rPr>
        <w:t>, т.е. способностью подавлять стремление к преступной деятельности; оно</w:t>
      </w:r>
      <w:r w:rsidRPr="00351E64">
        <w:rPr>
          <w:rFonts w:ascii="Times New Roman" w:eastAsia="Times New Roman" w:hAnsi="Times New Roman" w:cs="Times New Roman"/>
          <w:b/>
          <w:bCs/>
          <w:i/>
          <w:iCs/>
          <w:sz w:val="24"/>
          <w:szCs w:val="24"/>
          <w:lang w:eastAsia="ru-RU"/>
        </w:rPr>
        <w:t xml:space="preserve"> должно быть возможно более гуманно</w:t>
      </w:r>
      <w:r w:rsidRPr="00351E64">
        <w:rPr>
          <w:rFonts w:ascii="Times New Roman" w:eastAsia="Times New Roman" w:hAnsi="Times New Roman" w:cs="Times New Roman"/>
          <w:sz w:val="24"/>
          <w:szCs w:val="24"/>
          <w:lang w:eastAsia="ru-RU"/>
        </w:rPr>
        <w:t>, т.е. не должно причинять никаких ненужных для предупреждения преступления страданий; карательные меры должны быть возможно более индивидуальны, т.е. поражая преступника, они должны причинять как можно меньше зла близким преступнику лицам. Однако нет и не может быть таких карательных мер, которые, поражая преступника, были бы безразличны для любящих преступника лиц; карательные меры должны быть более делимы. Это требование прямо вытекает из того, что наказание должно с возможной силой предупреждать рецидив; оно должно быть, следовательно, способно соразмеряться с различными степенями и оттенками вины, чтобы судья в каждом данном случае, не причиняя излишних страданий наказуемому, мог выбрать ту меру наказания, которая необходима для предупреждения повторной преступной деятельности данного лица; карательные меры должны в возможно большей мере отличаться свойствами</w:t>
      </w:r>
      <w:r w:rsidRPr="00351E64">
        <w:rPr>
          <w:rFonts w:ascii="Times New Roman" w:eastAsia="Times New Roman" w:hAnsi="Times New Roman" w:cs="Times New Roman"/>
          <w:b/>
          <w:bCs/>
          <w:i/>
          <w:iCs/>
          <w:sz w:val="24"/>
          <w:szCs w:val="24"/>
          <w:lang w:eastAsia="ru-RU"/>
        </w:rPr>
        <w:t xml:space="preserve"> </w:t>
      </w:r>
      <w:proofErr w:type="spellStart"/>
      <w:r w:rsidRPr="00351E64">
        <w:rPr>
          <w:rFonts w:ascii="Times New Roman" w:eastAsia="Times New Roman" w:hAnsi="Times New Roman" w:cs="Times New Roman"/>
          <w:b/>
          <w:bCs/>
          <w:i/>
          <w:iCs/>
          <w:sz w:val="24"/>
          <w:szCs w:val="24"/>
          <w:lang w:eastAsia="ru-RU"/>
        </w:rPr>
        <w:t>отменимости</w:t>
      </w:r>
      <w:proofErr w:type="spellEnd"/>
      <w:r w:rsidRPr="00351E64">
        <w:rPr>
          <w:rFonts w:ascii="Times New Roman" w:eastAsia="Times New Roman" w:hAnsi="Times New Roman" w:cs="Times New Roman"/>
          <w:b/>
          <w:bCs/>
          <w:i/>
          <w:iCs/>
          <w:sz w:val="24"/>
          <w:szCs w:val="24"/>
          <w:lang w:eastAsia="ru-RU"/>
        </w:rPr>
        <w:t xml:space="preserve"> и </w:t>
      </w:r>
      <w:proofErr w:type="spellStart"/>
      <w:r w:rsidRPr="00351E64">
        <w:rPr>
          <w:rFonts w:ascii="Times New Roman" w:eastAsia="Times New Roman" w:hAnsi="Times New Roman" w:cs="Times New Roman"/>
          <w:b/>
          <w:bCs/>
          <w:i/>
          <w:iCs/>
          <w:sz w:val="24"/>
          <w:szCs w:val="24"/>
          <w:lang w:eastAsia="ru-RU"/>
        </w:rPr>
        <w:t>вознаградимости</w:t>
      </w:r>
      <w:proofErr w:type="spellEnd"/>
      <w:r w:rsidRPr="00351E64">
        <w:rPr>
          <w:rFonts w:ascii="Times New Roman" w:eastAsia="Times New Roman" w:hAnsi="Times New Roman" w:cs="Times New Roman"/>
          <w:b/>
          <w:bCs/>
          <w:i/>
          <w:iCs/>
          <w:sz w:val="24"/>
          <w:szCs w:val="24"/>
          <w:lang w:eastAsia="ru-RU"/>
        </w:rPr>
        <w:t>,</w:t>
      </w:r>
      <w:r w:rsidRPr="00351E64">
        <w:rPr>
          <w:rFonts w:ascii="Times New Roman" w:eastAsia="Times New Roman" w:hAnsi="Times New Roman" w:cs="Times New Roman"/>
          <w:sz w:val="24"/>
          <w:szCs w:val="24"/>
          <w:lang w:eastAsia="ru-RU"/>
        </w:rPr>
        <w:t xml:space="preserve"> необходимость этих свойств подсказывается не столь редкими, как показывает опыт, судебными ошибками</w:t>
      </w:r>
      <w:hyperlink r:id="rId122" w:anchor="121" w:history="1">
        <w:r w:rsidRPr="00351E64">
          <w:rPr>
            <w:rFonts w:ascii="Times New Roman" w:eastAsia="Times New Roman" w:hAnsi="Times New Roman" w:cs="Times New Roman"/>
            <w:color w:val="0000FF"/>
            <w:sz w:val="24"/>
            <w:szCs w:val="24"/>
            <w:u w:val="single"/>
            <w:vertAlign w:val="superscript"/>
            <w:lang w:eastAsia="ru-RU"/>
          </w:rPr>
          <w:t>121</w:t>
        </w:r>
      </w:hyperlink>
      <w:r w:rsidRPr="00351E64">
        <w:rPr>
          <w:rFonts w:ascii="Times New Roman" w:eastAsia="Times New Roman" w:hAnsi="Times New Roman" w:cs="Times New Roman"/>
          <w:sz w:val="24"/>
          <w:szCs w:val="24"/>
          <w:lang w:eastAsia="ru-RU"/>
        </w:rPr>
        <w:t xml:space="preserve"> . Наряду с вышеизложенным С.В. </w:t>
      </w:r>
      <w:proofErr w:type="spellStart"/>
      <w:r w:rsidRPr="00351E64">
        <w:rPr>
          <w:rFonts w:ascii="Times New Roman" w:eastAsia="Times New Roman" w:hAnsi="Times New Roman" w:cs="Times New Roman"/>
          <w:sz w:val="24"/>
          <w:szCs w:val="24"/>
          <w:lang w:eastAsia="ru-RU"/>
        </w:rPr>
        <w:t>Познышев</w:t>
      </w:r>
      <w:proofErr w:type="spellEnd"/>
      <w:r w:rsidRPr="00351E64">
        <w:rPr>
          <w:rFonts w:ascii="Times New Roman" w:eastAsia="Times New Roman" w:hAnsi="Times New Roman" w:cs="Times New Roman"/>
          <w:sz w:val="24"/>
          <w:szCs w:val="24"/>
          <w:lang w:eastAsia="ru-RU"/>
        </w:rPr>
        <w:t xml:space="preserve"> полагал, что такая система наказаний должна строиться с учетом принципа определенности наказаний, недопустимости их бессрочного назначения и неопределенных приговоров. "Уголовные последствия преступления, - писал </w:t>
      </w:r>
      <w:proofErr w:type="spellStart"/>
      <w:r w:rsidRPr="00351E64">
        <w:rPr>
          <w:rFonts w:ascii="Times New Roman" w:eastAsia="Times New Roman" w:hAnsi="Times New Roman" w:cs="Times New Roman"/>
          <w:sz w:val="24"/>
          <w:szCs w:val="24"/>
          <w:lang w:eastAsia="ru-RU"/>
        </w:rPr>
        <w:t>Познышев</w:t>
      </w:r>
      <w:proofErr w:type="spellEnd"/>
      <w:r w:rsidRPr="00351E64">
        <w:rPr>
          <w:rFonts w:ascii="Times New Roman" w:eastAsia="Times New Roman" w:hAnsi="Times New Roman" w:cs="Times New Roman"/>
          <w:sz w:val="24"/>
          <w:szCs w:val="24"/>
          <w:lang w:eastAsia="ru-RU"/>
        </w:rPr>
        <w:t xml:space="preserve"> С.В., - должны быть определенно установлены судом. Установление иного порядка, так называемые неопределенные приговоры, которые рекомендуются некоторыми криминалистами, внося в карательную практику неопределенность и шаткость, создавали бы у каждого преступника надежду, что он, если и не избежит рук правосудия, то во всяком случае подвергнется лишь незначительному наказанию. Затем, во время отбытия наказания, на многих преступников неопределенность заключения, которое им предстоит отбыть, оказывает весьма нежелательное впечатление"</w:t>
      </w:r>
      <w:hyperlink r:id="rId123" w:anchor="122" w:history="1">
        <w:proofErr w:type="gramStart"/>
        <w:r w:rsidRPr="00351E64">
          <w:rPr>
            <w:rFonts w:ascii="Times New Roman" w:eastAsia="Times New Roman" w:hAnsi="Times New Roman" w:cs="Times New Roman"/>
            <w:color w:val="0000FF"/>
            <w:sz w:val="24"/>
            <w:szCs w:val="24"/>
            <w:u w:val="single"/>
            <w:vertAlign w:val="superscript"/>
            <w:lang w:eastAsia="ru-RU"/>
          </w:rPr>
          <w:t>122</w:t>
        </w:r>
      </w:hyperlink>
      <w:r w:rsidRPr="00351E64">
        <w:rPr>
          <w:rFonts w:ascii="Times New Roman" w:eastAsia="Times New Roman" w:hAnsi="Times New Roman" w:cs="Times New Roman"/>
          <w:sz w:val="24"/>
          <w:szCs w:val="24"/>
          <w:lang w:eastAsia="ru-RU"/>
        </w:rPr>
        <w:t xml:space="preserve"> .</w:t>
      </w:r>
      <w:proofErr w:type="gramEnd"/>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Н.С. Таганцев, Н.Д. </w:t>
      </w:r>
      <w:proofErr w:type="spellStart"/>
      <w:r w:rsidRPr="00351E64">
        <w:rPr>
          <w:rFonts w:ascii="Times New Roman" w:eastAsia="Times New Roman" w:hAnsi="Times New Roman" w:cs="Times New Roman"/>
          <w:sz w:val="24"/>
          <w:szCs w:val="24"/>
          <w:lang w:eastAsia="ru-RU"/>
        </w:rPr>
        <w:t>Сергеевский</w:t>
      </w:r>
      <w:proofErr w:type="spellEnd"/>
      <w:r w:rsidRPr="00351E64">
        <w:rPr>
          <w:rFonts w:ascii="Times New Roman" w:eastAsia="Times New Roman" w:hAnsi="Times New Roman" w:cs="Times New Roman"/>
          <w:sz w:val="24"/>
          <w:szCs w:val="24"/>
          <w:lang w:eastAsia="ru-RU"/>
        </w:rPr>
        <w:t xml:space="preserve">, Л.С. </w:t>
      </w:r>
      <w:proofErr w:type="spellStart"/>
      <w:r w:rsidRPr="00351E64">
        <w:rPr>
          <w:rFonts w:ascii="Times New Roman" w:eastAsia="Times New Roman" w:hAnsi="Times New Roman" w:cs="Times New Roman"/>
          <w:sz w:val="24"/>
          <w:szCs w:val="24"/>
          <w:lang w:eastAsia="ru-RU"/>
        </w:rPr>
        <w:t>Белориц</w:t>
      </w:r>
      <w:proofErr w:type="spellEnd"/>
      <w:r w:rsidRPr="00351E64">
        <w:rPr>
          <w:rFonts w:ascii="Times New Roman" w:eastAsia="Times New Roman" w:hAnsi="Times New Roman" w:cs="Times New Roman"/>
          <w:sz w:val="24"/>
          <w:szCs w:val="24"/>
          <w:lang w:eastAsia="ru-RU"/>
        </w:rPr>
        <w:t xml:space="preserve">-Котляровский предлагали при построении системы наказаний исходить из принципа экономии и гуманизма уголовной репрессии. "Наказание есть бремя, тягость не только для отдельных лиц, - писал </w:t>
      </w:r>
      <w:proofErr w:type="spellStart"/>
      <w:r w:rsidRPr="00351E64">
        <w:rPr>
          <w:rFonts w:ascii="Times New Roman" w:eastAsia="Times New Roman" w:hAnsi="Times New Roman" w:cs="Times New Roman"/>
          <w:sz w:val="24"/>
          <w:szCs w:val="24"/>
          <w:lang w:eastAsia="ru-RU"/>
        </w:rPr>
        <w:t>Белориц</w:t>
      </w:r>
      <w:proofErr w:type="spellEnd"/>
      <w:r w:rsidRPr="00351E64">
        <w:rPr>
          <w:rFonts w:ascii="Times New Roman" w:eastAsia="Times New Roman" w:hAnsi="Times New Roman" w:cs="Times New Roman"/>
          <w:sz w:val="24"/>
          <w:szCs w:val="24"/>
          <w:lang w:eastAsia="ru-RU"/>
        </w:rPr>
        <w:t>-Котляровский Л.С., - но и для государства; отсюда следует, во-первых, что государство не должно расточать наказание там, где этого не требует настоятельная необходимость; оно не должно облагать наказанием те действия, вредный характер которых достаточно парализуется материальным вознаграждением, гражданским взысканием; во-вторых, что государство должно с сущностью наказания соединять возможно меньшее количество тягостей для преступившего уголовную норму; все, что не вызывается настоятельной необходимостью обеспечения общества, должно быть изгнано из системы карательных средств. Мало того - отсюда должно быть изгнано не только то, что не вызывается указанной необходимостью, но и то, что противоречит современным идеям гуманности, любви к ближнему, хотя бы то был и падший брат."</w:t>
      </w:r>
      <w:hyperlink r:id="rId124" w:anchor="123" w:history="1">
        <w:r w:rsidRPr="00351E64">
          <w:rPr>
            <w:rFonts w:ascii="Times New Roman" w:eastAsia="Times New Roman" w:hAnsi="Times New Roman" w:cs="Times New Roman"/>
            <w:color w:val="0000FF"/>
            <w:sz w:val="24"/>
            <w:szCs w:val="24"/>
            <w:u w:val="single"/>
            <w:vertAlign w:val="superscript"/>
            <w:lang w:eastAsia="ru-RU"/>
          </w:rPr>
          <w:t>123</w:t>
        </w:r>
      </w:hyperlink>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Указанные этими авторами отправные положения, действительно, можно отнести к принципам построения системы видов уголовных наказаний, и они могут рассматриваться </w:t>
      </w:r>
      <w:r w:rsidRPr="00351E64">
        <w:rPr>
          <w:rFonts w:ascii="Times New Roman" w:eastAsia="Times New Roman" w:hAnsi="Times New Roman" w:cs="Times New Roman"/>
          <w:sz w:val="24"/>
          <w:szCs w:val="24"/>
          <w:lang w:eastAsia="ru-RU"/>
        </w:rPr>
        <w:lastRenderedPageBreak/>
        <w:t xml:space="preserve">в качестве таковых в современных условиях России. Однако некоторые идеи, </w:t>
      </w:r>
      <w:proofErr w:type="spellStart"/>
      <w:r w:rsidRPr="00351E64">
        <w:rPr>
          <w:rFonts w:ascii="Times New Roman" w:eastAsia="Times New Roman" w:hAnsi="Times New Roman" w:cs="Times New Roman"/>
          <w:sz w:val="24"/>
          <w:szCs w:val="24"/>
          <w:lang w:eastAsia="ru-RU"/>
        </w:rPr>
        <w:t>пропагандировавшиеся</w:t>
      </w:r>
      <w:proofErr w:type="spellEnd"/>
      <w:r w:rsidRPr="00351E64">
        <w:rPr>
          <w:rFonts w:ascii="Times New Roman" w:eastAsia="Times New Roman" w:hAnsi="Times New Roman" w:cs="Times New Roman"/>
          <w:sz w:val="24"/>
          <w:szCs w:val="24"/>
          <w:lang w:eastAsia="ru-RU"/>
        </w:rPr>
        <w:t xml:space="preserve"> криминалистами досоветской России, нельзя считать с точки зрения современных взглядов науки уголовного права в качестве принципов построения системы наказаний. Так, </w:t>
      </w:r>
      <w:proofErr w:type="spellStart"/>
      <w:r w:rsidRPr="00351E64">
        <w:rPr>
          <w:rFonts w:ascii="Times New Roman" w:eastAsia="Times New Roman" w:hAnsi="Times New Roman" w:cs="Times New Roman"/>
          <w:sz w:val="24"/>
          <w:szCs w:val="24"/>
          <w:lang w:eastAsia="ru-RU"/>
        </w:rPr>
        <w:t>Сергеевский</w:t>
      </w:r>
      <w:proofErr w:type="spellEnd"/>
      <w:r w:rsidRPr="00351E64">
        <w:rPr>
          <w:rFonts w:ascii="Times New Roman" w:eastAsia="Times New Roman" w:hAnsi="Times New Roman" w:cs="Times New Roman"/>
          <w:sz w:val="24"/>
          <w:szCs w:val="24"/>
          <w:lang w:eastAsia="ru-RU"/>
        </w:rPr>
        <w:t xml:space="preserve"> Н.Д. в качестве принципа построения системы наказаний рассматривал принцип индивидуализации наказаний. Он, в частности, писал, что "так как наказание есть прежде всего внешняя форма осуждения и порицания преступного деяния, соответственно важности последнего, то оно, во-первых, должно быть индивидуально: то есть должно, по возможности, падать только на личность преступника, не задевая лиц, так или иначе с ним связанных"</w:t>
      </w:r>
      <w:hyperlink r:id="rId125" w:anchor="124" w:history="1">
        <w:r w:rsidRPr="00351E64">
          <w:rPr>
            <w:rFonts w:ascii="Times New Roman" w:eastAsia="Times New Roman" w:hAnsi="Times New Roman" w:cs="Times New Roman"/>
            <w:color w:val="0000FF"/>
            <w:sz w:val="24"/>
            <w:szCs w:val="24"/>
            <w:u w:val="single"/>
            <w:vertAlign w:val="superscript"/>
            <w:lang w:eastAsia="ru-RU"/>
          </w:rPr>
          <w:t>124</w:t>
        </w:r>
      </w:hyperlink>
      <w:r w:rsidRPr="00351E64">
        <w:rPr>
          <w:rFonts w:ascii="Times New Roman" w:eastAsia="Times New Roman" w:hAnsi="Times New Roman" w:cs="Times New Roman"/>
          <w:sz w:val="24"/>
          <w:szCs w:val="24"/>
          <w:lang w:eastAsia="ru-RU"/>
        </w:rPr>
        <w:t xml:space="preserve">. Это мнение разделяли </w:t>
      </w:r>
      <w:proofErr w:type="spellStart"/>
      <w:r w:rsidRPr="00351E64">
        <w:rPr>
          <w:rFonts w:ascii="Times New Roman" w:eastAsia="Times New Roman" w:hAnsi="Times New Roman" w:cs="Times New Roman"/>
          <w:sz w:val="24"/>
          <w:szCs w:val="24"/>
          <w:lang w:eastAsia="ru-RU"/>
        </w:rPr>
        <w:t>Белориц</w:t>
      </w:r>
      <w:proofErr w:type="spellEnd"/>
      <w:r w:rsidRPr="00351E64">
        <w:rPr>
          <w:rFonts w:ascii="Times New Roman" w:eastAsia="Times New Roman" w:hAnsi="Times New Roman" w:cs="Times New Roman"/>
          <w:sz w:val="24"/>
          <w:szCs w:val="24"/>
          <w:lang w:eastAsia="ru-RU"/>
        </w:rPr>
        <w:t>-Котляровский Л.С.</w:t>
      </w:r>
      <w:hyperlink r:id="rId126" w:anchor="125" w:history="1">
        <w:proofErr w:type="gramStart"/>
        <w:r w:rsidRPr="00351E64">
          <w:rPr>
            <w:rFonts w:ascii="Times New Roman" w:eastAsia="Times New Roman" w:hAnsi="Times New Roman" w:cs="Times New Roman"/>
            <w:color w:val="0000FF"/>
            <w:sz w:val="24"/>
            <w:szCs w:val="24"/>
            <w:u w:val="single"/>
            <w:vertAlign w:val="superscript"/>
            <w:lang w:eastAsia="ru-RU"/>
          </w:rPr>
          <w:t>125</w:t>
        </w:r>
      </w:hyperlink>
      <w:r w:rsidRPr="00351E64">
        <w:rPr>
          <w:rFonts w:ascii="Times New Roman" w:eastAsia="Times New Roman" w:hAnsi="Times New Roman" w:cs="Times New Roman"/>
          <w:sz w:val="24"/>
          <w:szCs w:val="24"/>
          <w:lang w:eastAsia="ru-RU"/>
        </w:rPr>
        <w:t xml:space="preserve"> ,</w:t>
      </w:r>
      <w:proofErr w:type="gramEnd"/>
      <w:r w:rsidRPr="00351E64">
        <w:rPr>
          <w:rFonts w:ascii="Times New Roman" w:eastAsia="Times New Roman" w:hAnsi="Times New Roman" w:cs="Times New Roman"/>
          <w:sz w:val="24"/>
          <w:szCs w:val="24"/>
          <w:lang w:eastAsia="ru-RU"/>
        </w:rPr>
        <w:t xml:space="preserve"> Таганцев Н.С., </w:t>
      </w:r>
      <w:proofErr w:type="spellStart"/>
      <w:r w:rsidRPr="00351E64">
        <w:rPr>
          <w:rFonts w:ascii="Times New Roman" w:eastAsia="Times New Roman" w:hAnsi="Times New Roman" w:cs="Times New Roman"/>
          <w:sz w:val="24"/>
          <w:szCs w:val="24"/>
          <w:lang w:eastAsia="ru-RU"/>
        </w:rPr>
        <w:t>Фойницкий</w:t>
      </w:r>
      <w:proofErr w:type="spellEnd"/>
      <w:r w:rsidRPr="00351E64">
        <w:rPr>
          <w:rFonts w:ascii="Times New Roman" w:eastAsia="Times New Roman" w:hAnsi="Times New Roman" w:cs="Times New Roman"/>
          <w:sz w:val="24"/>
          <w:szCs w:val="24"/>
          <w:lang w:eastAsia="ru-RU"/>
        </w:rPr>
        <w:t xml:space="preserve"> И.Я.</w:t>
      </w:r>
      <w:hyperlink r:id="rId127" w:anchor="126" w:history="1">
        <w:r w:rsidRPr="00351E64">
          <w:rPr>
            <w:rFonts w:ascii="Times New Roman" w:eastAsia="Times New Roman" w:hAnsi="Times New Roman" w:cs="Times New Roman"/>
            <w:color w:val="0000FF"/>
            <w:sz w:val="24"/>
            <w:szCs w:val="24"/>
            <w:u w:val="single"/>
            <w:vertAlign w:val="superscript"/>
            <w:lang w:eastAsia="ru-RU"/>
          </w:rPr>
          <w:t>126</w:t>
        </w:r>
      </w:hyperlink>
      <w:r w:rsidRPr="00351E64">
        <w:rPr>
          <w:rFonts w:ascii="Times New Roman" w:eastAsia="Times New Roman" w:hAnsi="Times New Roman" w:cs="Times New Roman"/>
          <w:sz w:val="24"/>
          <w:szCs w:val="24"/>
          <w:lang w:eastAsia="ru-RU"/>
        </w:rPr>
        <w:t xml:space="preserve">. С точки зрения современной доктрины уголовного права, в этом случае речь идет о личном характере уголовного наказания (т.е. о принципе личной уголовной ответственности). Применительно к построению </w:t>
      </w:r>
      <w:proofErr w:type="gramStart"/>
      <w:r w:rsidRPr="00351E64">
        <w:rPr>
          <w:rFonts w:ascii="Times New Roman" w:eastAsia="Times New Roman" w:hAnsi="Times New Roman" w:cs="Times New Roman"/>
          <w:sz w:val="24"/>
          <w:szCs w:val="24"/>
          <w:lang w:eastAsia="ru-RU"/>
        </w:rPr>
        <w:t>системы наказаний это</w:t>
      </w:r>
      <w:proofErr w:type="gramEnd"/>
      <w:r w:rsidRPr="00351E64">
        <w:rPr>
          <w:rFonts w:ascii="Times New Roman" w:eastAsia="Times New Roman" w:hAnsi="Times New Roman" w:cs="Times New Roman"/>
          <w:sz w:val="24"/>
          <w:szCs w:val="24"/>
          <w:lang w:eastAsia="ru-RU"/>
        </w:rPr>
        <w:t xml:space="preserve"> положение следует рассматривать как принцип подбора (включения) в систему наказаний, только наказаний личного характера, которые заключаются в предусмотренных УК лишениях или ограничениях прав и свобод только лица, совершившего преступление.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Современная доктрина отечественного уголовного права под индивидуализацией наказания понимает учет судом при назначении наказания конкретному подсудимому характера и степени общественной опасности совершенного преступления, личности виновного, отягчающих и смягчающих наказание обстоятельств</w:t>
      </w:r>
      <w:hyperlink r:id="rId128" w:anchor="127" w:history="1">
        <w:r w:rsidRPr="00351E64">
          <w:rPr>
            <w:rFonts w:ascii="Times New Roman" w:eastAsia="Times New Roman" w:hAnsi="Times New Roman" w:cs="Times New Roman"/>
            <w:color w:val="0000FF"/>
            <w:sz w:val="24"/>
            <w:szCs w:val="24"/>
            <w:u w:val="single"/>
            <w:vertAlign w:val="superscript"/>
            <w:lang w:eastAsia="ru-RU"/>
          </w:rPr>
          <w:t>127</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Н.Д. </w:t>
      </w:r>
      <w:proofErr w:type="spellStart"/>
      <w:r w:rsidRPr="00351E64">
        <w:rPr>
          <w:rFonts w:ascii="Times New Roman" w:eastAsia="Times New Roman" w:hAnsi="Times New Roman" w:cs="Times New Roman"/>
          <w:sz w:val="24"/>
          <w:szCs w:val="24"/>
          <w:lang w:eastAsia="ru-RU"/>
        </w:rPr>
        <w:t>Сергеевский</w:t>
      </w:r>
      <w:proofErr w:type="spellEnd"/>
      <w:r w:rsidRPr="00351E64">
        <w:rPr>
          <w:rFonts w:ascii="Times New Roman" w:eastAsia="Times New Roman" w:hAnsi="Times New Roman" w:cs="Times New Roman"/>
          <w:sz w:val="24"/>
          <w:szCs w:val="24"/>
          <w:lang w:eastAsia="ru-RU"/>
        </w:rPr>
        <w:t xml:space="preserve"> полагал, что система наказаний должна строиться неминуемо на основе принципа равенства наказаний для всех, независимо от принадлежности к тому или иному сословию. "Наказание, - пишет Н.Д. </w:t>
      </w:r>
      <w:proofErr w:type="spellStart"/>
      <w:r w:rsidRPr="00351E64">
        <w:rPr>
          <w:rFonts w:ascii="Times New Roman" w:eastAsia="Times New Roman" w:hAnsi="Times New Roman" w:cs="Times New Roman"/>
          <w:sz w:val="24"/>
          <w:szCs w:val="24"/>
          <w:lang w:eastAsia="ru-RU"/>
        </w:rPr>
        <w:t>Сергеевский</w:t>
      </w:r>
      <w:proofErr w:type="spellEnd"/>
      <w:r w:rsidRPr="00351E64">
        <w:rPr>
          <w:rFonts w:ascii="Times New Roman" w:eastAsia="Times New Roman" w:hAnsi="Times New Roman" w:cs="Times New Roman"/>
          <w:sz w:val="24"/>
          <w:szCs w:val="24"/>
          <w:lang w:eastAsia="ru-RU"/>
        </w:rPr>
        <w:t xml:space="preserve">, - во-вторых, на том же основании должно отличаться </w:t>
      </w:r>
      <w:r w:rsidRPr="00351E64">
        <w:rPr>
          <w:rFonts w:ascii="Times New Roman" w:eastAsia="Times New Roman" w:hAnsi="Times New Roman" w:cs="Times New Roman"/>
          <w:b/>
          <w:bCs/>
          <w:i/>
          <w:iCs/>
          <w:sz w:val="24"/>
          <w:szCs w:val="24"/>
          <w:lang w:eastAsia="ru-RU"/>
        </w:rPr>
        <w:t>равенством</w:t>
      </w:r>
      <w:r w:rsidRPr="00351E64">
        <w:rPr>
          <w:rFonts w:ascii="Times New Roman" w:eastAsia="Times New Roman" w:hAnsi="Times New Roman" w:cs="Times New Roman"/>
          <w:sz w:val="24"/>
          <w:szCs w:val="24"/>
          <w:lang w:eastAsia="ru-RU"/>
        </w:rPr>
        <w:t xml:space="preserve"> для всех лиц; то есть размер его должен зависеть исключительно от свойств самого преступного деяния, а не от личного положения преступника; пред лицом уголовного правосудия все должны быть равны. Интересы уголовного правосудия нарушаются, если лица одного сословия за известное преступное деяние наказываются сильнее или слабее лиц другого сословия."</w:t>
      </w:r>
      <w:hyperlink r:id="rId129" w:anchor="128" w:history="1">
        <w:r w:rsidRPr="00351E64">
          <w:rPr>
            <w:rFonts w:ascii="Times New Roman" w:eastAsia="Times New Roman" w:hAnsi="Times New Roman" w:cs="Times New Roman"/>
            <w:color w:val="0000FF"/>
            <w:sz w:val="24"/>
            <w:szCs w:val="24"/>
            <w:u w:val="single"/>
            <w:vertAlign w:val="superscript"/>
            <w:lang w:eastAsia="ru-RU"/>
          </w:rPr>
          <w:t>128</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Отображение названного принципа нашло отражение и современном законодательстве. Так, принцип равенства граждан перед законом, закрепленный ст. 4 УК РФ 1996 г., реализует положение ст. 19 Конституции РФ, которая провозглашает, что "все равны перед законом и судом". Все лица, совершившие преступления, подлежат уголовной ответственности независимо от должностного или социального </w:t>
      </w:r>
      <w:proofErr w:type="gramStart"/>
      <w:r w:rsidRPr="00351E64">
        <w:rPr>
          <w:rFonts w:ascii="Times New Roman" w:eastAsia="Times New Roman" w:hAnsi="Times New Roman" w:cs="Times New Roman"/>
          <w:sz w:val="24"/>
          <w:szCs w:val="24"/>
          <w:lang w:eastAsia="ru-RU"/>
        </w:rPr>
        <w:t>положения</w:t>
      </w:r>
      <w:proofErr w:type="gramEnd"/>
      <w:r w:rsidRPr="00351E64">
        <w:rPr>
          <w:rFonts w:ascii="Times New Roman" w:eastAsia="Times New Roman" w:hAnsi="Times New Roman" w:cs="Times New Roman"/>
          <w:sz w:val="24"/>
          <w:szCs w:val="24"/>
          <w:lang w:eastAsia="ru-RU"/>
        </w:rPr>
        <w:t xml:space="preserve"> или иных каких-либо личных качеств. Однако, на наш взгляд, этот принцип является принципом уголовной ответственности, а не принципом построения системы уголовных наказаний. И.Я. </w:t>
      </w:r>
      <w:proofErr w:type="spellStart"/>
      <w:r w:rsidRPr="00351E64">
        <w:rPr>
          <w:rFonts w:ascii="Times New Roman" w:eastAsia="Times New Roman" w:hAnsi="Times New Roman" w:cs="Times New Roman"/>
          <w:sz w:val="24"/>
          <w:szCs w:val="24"/>
          <w:lang w:eastAsia="ru-RU"/>
        </w:rPr>
        <w:t>Фойницкий</w:t>
      </w:r>
      <w:proofErr w:type="spellEnd"/>
      <w:r w:rsidRPr="00351E64">
        <w:rPr>
          <w:rFonts w:ascii="Times New Roman" w:eastAsia="Times New Roman" w:hAnsi="Times New Roman" w:cs="Times New Roman"/>
          <w:sz w:val="24"/>
          <w:szCs w:val="24"/>
          <w:lang w:eastAsia="ru-RU"/>
        </w:rPr>
        <w:t xml:space="preserve"> полагал, что систему (лестницу) наказаний следует строить с учетом принципа чувствительности наказания, заключающегося не только в памяти правонарушителя, сколько в неизбежности его применения, в убеждении всех, что наказание неминуемо постигнет всякого виновного и только виновного. "Наказание, - пишет </w:t>
      </w:r>
      <w:proofErr w:type="spellStart"/>
      <w:r w:rsidRPr="00351E64">
        <w:rPr>
          <w:rFonts w:ascii="Times New Roman" w:eastAsia="Times New Roman" w:hAnsi="Times New Roman" w:cs="Times New Roman"/>
          <w:sz w:val="24"/>
          <w:szCs w:val="24"/>
          <w:lang w:eastAsia="ru-RU"/>
        </w:rPr>
        <w:t>Фойницкий</w:t>
      </w:r>
      <w:proofErr w:type="spellEnd"/>
      <w:r w:rsidRPr="00351E64">
        <w:rPr>
          <w:rFonts w:ascii="Times New Roman" w:eastAsia="Times New Roman" w:hAnsi="Times New Roman" w:cs="Times New Roman"/>
          <w:sz w:val="24"/>
          <w:szCs w:val="24"/>
          <w:lang w:eastAsia="ru-RU"/>
        </w:rPr>
        <w:t xml:space="preserve"> И.Я., - как принуждение, должно быть лишением чувствительным, обращаясь к поражению благ, распоряжение которыми зависит от государства. Поэтому выбор для наказания таких благ, которые от государства не зависят (например, лишение чести, лишение доброго имени), представляется неправильным. Притом чувствительным оно должно быть одинаково для </w:t>
      </w:r>
      <w:r w:rsidRPr="00351E64">
        <w:rPr>
          <w:rFonts w:ascii="Times New Roman" w:eastAsia="Times New Roman" w:hAnsi="Times New Roman" w:cs="Times New Roman"/>
          <w:sz w:val="24"/>
          <w:szCs w:val="24"/>
          <w:lang w:eastAsia="ru-RU"/>
        </w:rPr>
        <w:lastRenderedPageBreak/>
        <w:t>всех классов населения, без всяких сословных или других различий - и в этом лежит современный принцип равенства наказаний, неизвестный прежнему времени. Чувствительность наказания лежит, впрочем, не столько в его тяжести, сколько в неизбежности его применения, в убеждении всех, что наказание неминуемо постигнет всякого виновного, и притом только виновного."</w:t>
      </w:r>
      <w:hyperlink r:id="rId130" w:anchor="129" w:history="1">
        <w:r w:rsidRPr="00351E64">
          <w:rPr>
            <w:rFonts w:ascii="Times New Roman" w:eastAsia="Times New Roman" w:hAnsi="Times New Roman" w:cs="Times New Roman"/>
            <w:color w:val="0000FF"/>
            <w:sz w:val="24"/>
            <w:szCs w:val="24"/>
            <w:u w:val="single"/>
            <w:vertAlign w:val="superscript"/>
            <w:lang w:eastAsia="ru-RU"/>
          </w:rPr>
          <w:t>129</w:t>
        </w:r>
      </w:hyperlink>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 наш взгляд, данный принцип отображает принцип равенства перед законом и судом, являющийся принципом уголовной ответственности. К тому же следует указать на то, что, помимо принципа равенства наказаний, следует индивидуализировать ответственность и наказание, отталкиваясь от принципа справедливости, так как применение к разным людям, совершившим одинаковые преступления, одинакового наказания было бы несправедливым, как и применение одинакового наказания к одинаково характеризующимся лицам, но совершившим разные по степени и характеру опасности преступления. Поэтому этот принцип нельзя считать принципом построения системы наказаний.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С.П. </w:t>
      </w:r>
      <w:proofErr w:type="spellStart"/>
      <w:r w:rsidRPr="00351E64">
        <w:rPr>
          <w:rFonts w:ascii="Times New Roman" w:eastAsia="Times New Roman" w:hAnsi="Times New Roman" w:cs="Times New Roman"/>
          <w:sz w:val="24"/>
          <w:szCs w:val="24"/>
          <w:lang w:eastAsia="ru-RU"/>
        </w:rPr>
        <w:t>Мокринский</w:t>
      </w:r>
      <w:proofErr w:type="spellEnd"/>
      <w:r w:rsidRPr="00351E64">
        <w:rPr>
          <w:rFonts w:ascii="Times New Roman" w:eastAsia="Times New Roman" w:hAnsi="Times New Roman" w:cs="Times New Roman"/>
          <w:sz w:val="24"/>
          <w:szCs w:val="24"/>
          <w:lang w:eastAsia="ru-RU"/>
        </w:rPr>
        <w:t xml:space="preserve"> указывал, что при построении системы уголовных наказаний следует использовать принцип "исторических традиций", учитывая при этом уровень моральных воззрений общества. "Исторические традиции, - пишет </w:t>
      </w:r>
      <w:proofErr w:type="spellStart"/>
      <w:r w:rsidRPr="00351E64">
        <w:rPr>
          <w:rFonts w:ascii="Times New Roman" w:eastAsia="Times New Roman" w:hAnsi="Times New Roman" w:cs="Times New Roman"/>
          <w:sz w:val="24"/>
          <w:szCs w:val="24"/>
          <w:lang w:eastAsia="ru-RU"/>
        </w:rPr>
        <w:t>Мокринский</w:t>
      </w:r>
      <w:proofErr w:type="spellEnd"/>
      <w:r w:rsidRPr="00351E64">
        <w:rPr>
          <w:rFonts w:ascii="Times New Roman" w:eastAsia="Times New Roman" w:hAnsi="Times New Roman" w:cs="Times New Roman"/>
          <w:sz w:val="24"/>
          <w:szCs w:val="24"/>
          <w:lang w:eastAsia="ru-RU"/>
        </w:rPr>
        <w:t xml:space="preserve"> С.П., - представляют собой простую разновидность притязаний, опирающихся на данные социальной этики, и выделяются из общего ряда единственно глубоко консервативным тоном своей основной тенденции. Исследуя наказание как явление историческое, некоторые писатели стремятся установить начала частью индивидуальной, частью коллективной психологии, которая в течение веков руководила человечеством в постановке дела уголовной репрессии. Так как начала, лежащие в основе человеческого духа, представляются если и не неизменными, то мало подвижными, и так как людям естественно иметь учреждения, соответствующие их духовной природе, то и были предъявлены к наказанию известные требования в настоящем на том основании, что они достаточно долго были удовлетворяемы в прошлом."</w:t>
      </w:r>
      <w:hyperlink r:id="rId131" w:anchor="130" w:history="1">
        <w:r w:rsidRPr="00351E64">
          <w:rPr>
            <w:rFonts w:ascii="Times New Roman" w:eastAsia="Times New Roman" w:hAnsi="Times New Roman" w:cs="Times New Roman"/>
            <w:color w:val="0000FF"/>
            <w:sz w:val="24"/>
            <w:szCs w:val="24"/>
            <w:u w:val="single"/>
            <w:vertAlign w:val="superscript"/>
            <w:lang w:eastAsia="ru-RU"/>
          </w:rPr>
          <w:t>130</w:t>
        </w:r>
      </w:hyperlink>
      <w:r w:rsidRPr="00351E64">
        <w:rPr>
          <w:rFonts w:ascii="Times New Roman" w:eastAsia="Times New Roman" w:hAnsi="Times New Roman" w:cs="Times New Roman"/>
          <w:sz w:val="24"/>
          <w:szCs w:val="24"/>
          <w:lang w:eastAsia="ru-RU"/>
        </w:rPr>
        <w:t xml:space="preserve">. Помимо предложенного </w:t>
      </w:r>
      <w:proofErr w:type="spellStart"/>
      <w:r w:rsidRPr="00351E64">
        <w:rPr>
          <w:rFonts w:ascii="Times New Roman" w:eastAsia="Times New Roman" w:hAnsi="Times New Roman" w:cs="Times New Roman"/>
          <w:sz w:val="24"/>
          <w:szCs w:val="24"/>
          <w:lang w:eastAsia="ru-RU"/>
        </w:rPr>
        <w:t>Мокринским</w:t>
      </w:r>
      <w:proofErr w:type="spellEnd"/>
      <w:r w:rsidRPr="00351E64">
        <w:rPr>
          <w:rFonts w:ascii="Times New Roman" w:eastAsia="Times New Roman" w:hAnsi="Times New Roman" w:cs="Times New Roman"/>
          <w:sz w:val="24"/>
          <w:szCs w:val="24"/>
          <w:lang w:eastAsia="ru-RU"/>
        </w:rPr>
        <w:t xml:space="preserve"> С.П. принципа "исторических традиций", с учетом уровня моральных воззрений общества, на наш взгляд, для построения системы уголовных наказаний в современном Российском обществе следует использовать нравственные и религиозные воззрения народа.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Давая оценку вышеназванным принципам, Л.В. </w:t>
      </w:r>
      <w:proofErr w:type="spellStart"/>
      <w:r w:rsidRPr="00351E64">
        <w:rPr>
          <w:rFonts w:ascii="Times New Roman" w:eastAsia="Times New Roman" w:hAnsi="Times New Roman" w:cs="Times New Roman"/>
          <w:sz w:val="24"/>
          <w:szCs w:val="24"/>
          <w:lang w:eastAsia="ru-RU"/>
        </w:rPr>
        <w:t>Багрий</w:t>
      </w:r>
      <w:proofErr w:type="spellEnd"/>
      <w:r w:rsidRPr="00351E64">
        <w:rPr>
          <w:rFonts w:ascii="Times New Roman" w:eastAsia="Times New Roman" w:hAnsi="Times New Roman" w:cs="Times New Roman"/>
          <w:sz w:val="24"/>
          <w:szCs w:val="24"/>
          <w:lang w:eastAsia="ru-RU"/>
        </w:rPr>
        <w:t xml:space="preserve">-Шахматов </w:t>
      </w:r>
      <w:proofErr w:type="spellStart"/>
      <w:proofErr w:type="gramStart"/>
      <w:r w:rsidRPr="00351E64">
        <w:rPr>
          <w:rFonts w:ascii="Times New Roman" w:eastAsia="Times New Roman" w:hAnsi="Times New Roman" w:cs="Times New Roman"/>
          <w:sz w:val="24"/>
          <w:szCs w:val="24"/>
          <w:lang w:eastAsia="ru-RU"/>
        </w:rPr>
        <w:t>ука-зывает</w:t>
      </w:r>
      <w:proofErr w:type="spellEnd"/>
      <w:proofErr w:type="gramEnd"/>
      <w:r w:rsidRPr="00351E64">
        <w:rPr>
          <w:rFonts w:ascii="Times New Roman" w:eastAsia="Times New Roman" w:hAnsi="Times New Roman" w:cs="Times New Roman"/>
          <w:sz w:val="24"/>
          <w:szCs w:val="24"/>
          <w:lang w:eastAsia="ru-RU"/>
        </w:rPr>
        <w:t xml:space="preserve"> на абстрактность этих положений, их направленность в необозримое и неведомое будущее. "Они говорили, - писал Л.В. </w:t>
      </w:r>
      <w:proofErr w:type="spellStart"/>
      <w:r w:rsidRPr="00351E64">
        <w:rPr>
          <w:rFonts w:ascii="Times New Roman" w:eastAsia="Times New Roman" w:hAnsi="Times New Roman" w:cs="Times New Roman"/>
          <w:sz w:val="24"/>
          <w:szCs w:val="24"/>
          <w:lang w:eastAsia="ru-RU"/>
        </w:rPr>
        <w:t>Багрий</w:t>
      </w:r>
      <w:proofErr w:type="spellEnd"/>
      <w:r w:rsidRPr="00351E64">
        <w:rPr>
          <w:rFonts w:ascii="Times New Roman" w:eastAsia="Times New Roman" w:hAnsi="Times New Roman" w:cs="Times New Roman"/>
          <w:sz w:val="24"/>
          <w:szCs w:val="24"/>
          <w:lang w:eastAsia="ru-RU"/>
        </w:rPr>
        <w:t>-Шахматов, - как должно быть, но никак не о том, что имеет место на самом деле в действительности"</w:t>
      </w:r>
      <w:hyperlink r:id="rId132" w:anchor="131" w:history="1">
        <w:proofErr w:type="gramStart"/>
        <w:r w:rsidRPr="00351E64">
          <w:rPr>
            <w:rFonts w:ascii="Times New Roman" w:eastAsia="Times New Roman" w:hAnsi="Times New Roman" w:cs="Times New Roman"/>
            <w:color w:val="0000FF"/>
            <w:sz w:val="24"/>
            <w:szCs w:val="24"/>
            <w:u w:val="single"/>
            <w:vertAlign w:val="superscript"/>
            <w:lang w:eastAsia="ru-RU"/>
          </w:rPr>
          <w:t>131</w:t>
        </w:r>
      </w:hyperlink>
      <w:r w:rsidRPr="00351E64">
        <w:rPr>
          <w:rFonts w:ascii="Times New Roman" w:eastAsia="Times New Roman" w:hAnsi="Times New Roman" w:cs="Times New Roman"/>
          <w:sz w:val="24"/>
          <w:szCs w:val="24"/>
          <w:lang w:eastAsia="ru-RU"/>
        </w:rPr>
        <w:t xml:space="preserve"> .</w:t>
      </w:r>
      <w:proofErr w:type="gramEnd"/>
      <w:r w:rsidRPr="00351E64">
        <w:rPr>
          <w:rFonts w:ascii="Times New Roman" w:eastAsia="Times New Roman" w:hAnsi="Times New Roman" w:cs="Times New Roman"/>
          <w:sz w:val="24"/>
          <w:szCs w:val="24"/>
          <w:lang w:eastAsia="ru-RU"/>
        </w:rPr>
        <w:t xml:space="preserve"> Находясь под влиянием идеологических догм того времени, когда писалась цитируемая работа, этот автор заостряет внимание на том, что "среди изложенных принципов отсутствует не только указание на классовые начала в построении системы наказаний, но также упоминание о таком основополагающем принципе, как принцип законности в карательной деятельности"</w:t>
      </w:r>
      <w:hyperlink r:id="rId133" w:anchor="132" w:history="1">
        <w:proofErr w:type="gramStart"/>
        <w:r w:rsidRPr="00351E64">
          <w:rPr>
            <w:rFonts w:ascii="Times New Roman" w:eastAsia="Times New Roman" w:hAnsi="Times New Roman" w:cs="Times New Roman"/>
            <w:color w:val="0000FF"/>
            <w:sz w:val="24"/>
            <w:szCs w:val="24"/>
            <w:u w:val="single"/>
            <w:vertAlign w:val="superscript"/>
            <w:lang w:eastAsia="ru-RU"/>
          </w:rPr>
          <w:t>132</w:t>
        </w:r>
      </w:hyperlink>
      <w:r w:rsidRPr="00351E64">
        <w:rPr>
          <w:rFonts w:ascii="Times New Roman" w:eastAsia="Times New Roman" w:hAnsi="Times New Roman" w:cs="Times New Roman"/>
          <w:sz w:val="24"/>
          <w:szCs w:val="24"/>
          <w:lang w:eastAsia="ru-RU"/>
        </w:rPr>
        <w:t xml:space="preserve"> .</w:t>
      </w:r>
      <w:proofErr w:type="gramEnd"/>
      <w:r w:rsidRPr="00351E64">
        <w:rPr>
          <w:rFonts w:ascii="Times New Roman" w:eastAsia="Times New Roman" w:hAnsi="Times New Roman" w:cs="Times New Roman"/>
          <w:sz w:val="24"/>
          <w:szCs w:val="24"/>
          <w:lang w:eastAsia="ru-RU"/>
        </w:rPr>
        <w:t xml:space="preserve"> В названной работе Л.В. </w:t>
      </w:r>
      <w:proofErr w:type="spellStart"/>
      <w:r w:rsidRPr="00351E64">
        <w:rPr>
          <w:rFonts w:ascii="Times New Roman" w:eastAsia="Times New Roman" w:hAnsi="Times New Roman" w:cs="Times New Roman"/>
          <w:sz w:val="24"/>
          <w:szCs w:val="24"/>
          <w:lang w:eastAsia="ru-RU"/>
        </w:rPr>
        <w:t>Багрий</w:t>
      </w:r>
      <w:proofErr w:type="spellEnd"/>
      <w:r w:rsidRPr="00351E64">
        <w:rPr>
          <w:rFonts w:ascii="Times New Roman" w:eastAsia="Times New Roman" w:hAnsi="Times New Roman" w:cs="Times New Roman"/>
          <w:sz w:val="24"/>
          <w:szCs w:val="24"/>
          <w:lang w:eastAsia="ru-RU"/>
        </w:rPr>
        <w:t>-Шахматов проблему формирования принципов построения системы уголовных наказаний в советском государстве решает на основе положений 2-й Программы партии большевиков, принятой VIII партийным съездом в марте 1919 года:</w:t>
      </w:r>
    </w:p>
    <w:p w:rsidR="00351E64" w:rsidRPr="00351E64" w:rsidRDefault="00351E64" w:rsidP="009472CE">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51E64">
        <w:rPr>
          <w:rFonts w:ascii="Times New Roman" w:eastAsia="Times New Roman" w:hAnsi="Times New Roman" w:cs="Times New Roman"/>
          <w:sz w:val="24"/>
          <w:szCs w:val="24"/>
          <w:lang w:eastAsia="ru-RU"/>
        </w:rPr>
        <w:t>&gt;%</w:t>
      </w:r>
      <w:proofErr w:type="gramEnd"/>
      <w:r w:rsidRPr="00351E64">
        <w:rPr>
          <w:rFonts w:ascii="Times New Roman" w:eastAsia="Times New Roman" w:hAnsi="Times New Roman" w:cs="Times New Roman"/>
          <w:sz w:val="24"/>
          <w:szCs w:val="24"/>
          <w:lang w:eastAsia="ru-RU"/>
        </w:rPr>
        <w:t xml:space="preserve"> условного осуждения; </w:t>
      </w:r>
    </w:p>
    <w:p w:rsidR="00351E64" w:rsidRPr="00351E64" w:rsidRDefault="00351E64" w:rsidP="009472CE">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&gt;&gt; общественного порицания;</w:t>
      </w:r>
    </w:p>
    <w:p w:rsidR="00351E64" w:rsidRPr="00351E64" w:rsidRDefault="00351E64" w:rsidP="009472CE">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замена лишения свободы принудительным трудом с проживанием на дому;</w:t>
      </w:r>
    </w:p>
    <w:p w:rsidR="00351E64" w:rsidRPr="00351E64" w:rsidRDefault="00351E64" w:rsidP="009472CE">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замена тюрьмы воспитательными учреждениями;</w:t>
      </w:r>
    </w:p>
    <w:p w:rsidR="00351E64" w:rsidRPr="00351E64" w:rsidRDefault="00351E64" w:rsidP="009472CE">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введение товарищеских судов (для известных категорий и в армии, и среди рабочих)</w:t>
      </w:r>
      <w:hyperlink r:id="rId134" w:anchor="133" w:history="1">
        <w:proofErr w:type="gramStart"/>
        <w:r w:rsidRPr="00351E64">
          <w:rPr>
            <w:rFonts w:ascii="Times New Roman" w:eastAsia="Times New Roman" w:hAnsi="Times New Roman" w:cs="Times New Roman"/>
            <w:color w:val="0000FF"/>
            <w:sz w:val="24"/>
            <w:szCs w:val="24"/>
            <w:u w:val="single"/>
            <w:vertAlign w:val="superscript"/>
            <w:lang w:eastAsia="ru-RU"/>
          </w:rPr>
          <w:t>133</w:t>
        </w:r>
      </w:hyperlink>
      <w:r w:rsidRPr="00351E64">
        <w:rPr>
          <w:rFonts w:ascii="Times New Roman" w:eastAsia="Times New Roman" w:hAnsi="Times New Roman" w:cs="Times New Roman"/>
          <w:sz w:val="24"/>
          <w:szCs w:val="24"/>
          <w:lang w:eastAsia="ru-RU"/>
        </w:rPr>
        <w:t xml:space="preserve"> .</w:t>
      </w:r>
      <w:proofErr w:type="gramEnd"/>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 принятием второй Программы и определением в ней принципиальных положений относительно системы карательных мер в государстве рабочих и крестьян встал вопрос о необходимости упорядочения системы уголовных наказаний. Первой попыткой этого после Октябрьской революции явились "Руководящие начала по уголовному праву РСФСР", утвержденные Постановлением НКЮ 12 декабря 1919 года</w:t>
      </w:r>
      <w:hyperlink r:id="rId135" w:anchor="134" w:history="1">
        <w:r w:rsidRPr="00351E64">
          <w:rPr>
            <w:rFonts w:ascii="Times New Roman" w:eastAsia="Times New Roman" w:hAnsi="Times New Roman" w:cs="Times New Roman"/>
            <w:color w:val="0000FF"/>
            <w:sz w:val="24"/>
            <w:szCs w:val="24"/>
            <w:u w:val="single"/>
            <w:vertAlign w:val="superscript"/>
            <w:lang w:eastAsia="ru-RU"/>
          </w:rPr>
          <w:t>134</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По мнению Л.В. </w:t>
      </w:r>
      <w:proofErr w:type="spellStart"/>
      <w:r w:rsidRPr="00351E64">
        <w:rPr>
          <w:rFonts w:ascii="Times New Roman" w:eastAsia="Times New Roman" w:hAnsi="Times New Roman" w:cs="Times New Roman"/>
          <w:sz w:val="24"/>
          <w:szCs w:val="24"/>
          <w:lang w:eastAsia="ru-RU"/>
        </w:rPr>
        <w:t>Багрий</w:t>
      </w:r>
      <w:proofErr w:type="spellEnd"/>
      <w:r w:rsidRPr="00351E64">
        <w:rPr>
          <w:rFonts w:ascii="Times New Roman" w:eastAsia="Times New Roman" w:hAnsi="Times New Roman" w:cs="Times New Roman"/>
          <w:sz w:val="24"/>
          <w:szCs w:val="24"/>
          <w:lang w:eastAsia="ru-RU"/>
        </w:rPr>
        <w:t>-Шахматова, система наказаний в Руководящих началах была построена на основе принципа классовости; принципа индивидуализации, сочетаемой с классовым подходом; принципа гуманизма и целесообразной репрессивности; принципа экономии карательных средств</w:t>
      </w:r>
      <w:hyperlink r:id="rId136" w:anchor="135" w:history="1">
        <w:r w:rsidRPr="00351E64">
          <w:rPr>
            <w:rFonts w:ascii="Times New Roman" w:eastAsia="Times New Roman" w:hAnsi="Times New Roman" w:cs="Times New Roman"/>
            <w:color w:val="0000FF"/>
            <w:sz w:val="24"/>
            <w:szCs w:val="24"/>
            <w:u w:val="single"/>
            <w:vertAlign w:val="superscript"/>
            <w:lang w:eastAsia="ru-RU"/>
          </w:rPr>
          <w:t>135</w:t>
        </w:r>
      </w:hyperlink>
      <w:r w:rsidRPr="00351E64">
        <w:rPr>
          <w:rFonts w:ascii="Times New Roman" w:eastAsia="Times New Roman" w:hAnsi="Times New Roman" w:cs="Times New Roman"/>
          <w:sz w:val="24"/>
          <w:szCs w:val="24"/>
          <w:lang w:eastAsia="ru-RU"/>
        </w:rPr>
        <w:t>. В основу построения системы наказаний по УК 1922 года, по мнению этого автора, был также положен и принцип законности. Формирование союзно-республиканского уголовного законодательства было третьим этапом в развитии советского уголовного законодательства в области формирования системы наказаний и принципов ее построения. Отличительные принципы системы наказаний в советском государстве А.А. Жижиленко усматривал в экономии карательных средств; индивидуализации наказаний; привлечении общества к делу борьбы с преступностью</w:t>
      </w:r>
      <w:hyperlink r:id="rId137" w:anchor="136" w:history="1">
        <w:r w:rsidRPr="00351E64">
          <w:rPr>
            <w:rFonts w:ascii="Times New Roman" w:eastAsia="Times New Roman" w:hAnsi="Times New Roman" w:cs="Times New Roman"/>
            <w:color w:val="0000FF"/>
            <w:sz w:val="24"/>
            <w:szCs w:val="24"/>
            <w:u w:val="single"/>
            <w:vertAlign w:val="superscript"/>
            <w:lang w:eastAsia="ru-RU"/>
          </w:rPr>
          <w:t>136</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Основными принципами построения системы уголовных наказаний, нашедшими законодательное закрепление в Основных началах уголовного законодательства СССР и союзных республик 1924 года и республиканских </w:t>
      </w:r>
      <w:proofErr w:type="spellStart"/>
      <w:r w:rsidRPr="00351E64">
        <w:rPr>
          <w:rFonts w:ascii="Times New Roman" w:eastAsia="Times New Roman" w:hAnsi="Times New Roman" w:cs="Times New Roman"/>
          <w:sz w:val="24"/>
          <w:szCs w:val="24"/>
          <w:lang w:eastAsia="ru-RU"/>
        </w:rPr>
        <w:t>уголов-ных</w:t>
      </w:r>
      <w:proofErr w:type="spellEnd"/>
      <w:r w:rsidRPr="00351E64">
        <w:rPr>
          <w:rFonts w:ascii="Times New Roman" w:eastAsia="Times New Roman" w:hAnsi="Times New Roman" w:cs="Times New Roman"/>
          <w:sz w:val="24"/>
          <w:szCs w:val="24"/>
          <w:lang w:eastAsia="ru-RU"/>
        </w:rPr>
        <w:t xml:space="preserve"> кодексах, А.Я. Эстрин называет: принцип классовости; принцип законности; принцип целесообразности; "режим экономии" карательных средств; принцип общего и специального предупреждения; принцип направленности репрессии на исправление и перевоспитание осужденных; принцип индивидуализации; принцип репрессивности карательных мер</w:t>
      </w:r>
      <w:hyperlink r:id="rId138" w:anchor="137" w:history="1">
        <w:r w:rsidRPr="00351E64">
          <w:rPr>
            <w:rFonts w:ascii="Times New Roman" w:eastAsia="Times New Roman" w:hAnsi="Times New Roman" w:cs="Times New Roman"/>
            <w:color w:val="0000FF"/>
            <w:sz w:val="24"/>
            <w:szCs w:val="24"/>
            <w:u w:val="single"/>
            <w:vertAlign w:val="superscript"/>
            <w:lang w:eastAsia="ru-RU"/>
          </w:rPr>
          <w:t>137</w:t>
        </w:r>
      </w:hyperlink>
      <w:r w:rsidRPr="00351E64">
        <w:rPr>
          <w:rFonts w:ascii="Times New Roman" w:eastAsia="Times New Roman" w:hAnsi="Times New Roman" w:cs="Times New Roman"/>
          <w:sz w:val="24"/>
          <w:szCs w:val="24"/>
          <w:lang w:eastAsia="ru-RU"/>
        </w:rPr>
        <w:t xml:space="preserve">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суждениях А.Я. Эстрина, как нам представляется, речь идет не о принципе построения системы наказаний, а о принципах уголовной политики советского государства того времени. По нашему мнению, нет четкого понимания принципов построения системы наказаний, в работах </w:t>
      </w:r>
      <w:proofErr w:type="spellStart"/>
      <w:r w:rsidRPr="00351E64">
        <w:rPr>
          <w:rFonts w:ascii="Times New Roman" w:eastAsia="Times New Roman" w:hAnsi="Times New Roman" w:cs="Times New Roman"/>
          <w:sz w:val="24"/>
          <w:szCs w:val="24"/>
          <w:lang w:eastAsia="ru-RU"/>
        </w:rPr>
        <w:t>Багрий</w:t>
      </w:r>
      <w:proofErr w:type="spellEnd"/>
      <w:r w:rsidRPr="00351E64">
        <w:rPr>
          <w:rFonts w:ascii="Times New Roman" w:eastAsia="Times New Roman" w:hAnsi="Times New Roman" w:cs="Times New Roman"/>
          <w:sz w:val="24"/>
          <w:szCs w:val="24"/>
          <w:lang w:eastAsia="ru-RU"/>
        </w:rPr>
        <w:t>-Шахматова Л.В., это видно хотя бы из того, что он подразделяет принципы построения системы наказания на основные (общие) и специфические. "Для общих принципов, - пишет он, - характерно, что они представляют собой те основные исходные положения социалистического права, которые под воздействием уголовной и исправительно-трудовой политики КПСС и Советского государства приобрели в уголовном праве известные особенности и являются общими началами построения системы наказаний и воплощения ее в уголовном законе"</w:t>
      </w:r>
      <w:hyperlink r:id="rId139" w:anchor="138" w:history="1">
        <w:r w:rsidRPr="00351E64">
          <w:rPr>
            <w:rFonts w:ascii="Times New Roman" w:eastAsia="Times New Roman" w:hAnsi="Times New Roman" w:cs="Times New Roman"/>
            <w:color w:val="0000FF"/>
            <w:sz w:val="24"/>
            <w:szCs w:val="24"/>
            <w:u w:val="single"/>
            <w:vertAlign w:val="superscript"/>
            <w:lang w:eastAsia="ru-RU"/>
          </w:rPr>
          <w:t>138</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К ним он относит:</w:t>
      </w:r>
    </w:p>
    <w:p w:rsidR="00351E64" w:rsidRPr="00351E64" w:rsidRDefault="00351E64" w:rsidP="009472CE">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принцип классовости, т.е. направленность системы наказаний на </w:t>
      </w:r>
      <w:proofErr w:type="gramStart"/>
      <w:r w:rsidRPr="00351E64">
        <w:rPr>
          <w:rFonts w:ascii="Times New Roman" w:eastAsia="Times New Roman" w:hAnsi="Times New Roman" w:cs="Times New Roman"/>
          <w:sz w:val="24"/>
          <w:szCs w:val="24"/>
          <w:lang w:eastAsia="ru-RU"/>
        </w:rPr>
        <w:t>за щиту</w:t>
      </w:r>
      <w:proofErr w:type="gramEnd"/>
      <w:r w:rsidRPr="00351E64">
        <w:rPr>
          <w:rFonts w:ascii="Times New Roman" w:eastAsia="Times New Roman" w:hAnsi="Times New Roman" w:cs="Times New Roman"/>
          <w:sz w:val="24"/>
          <w:szCs w:val="24"/>
          <w:lang w:eastAsia="ru-RU"/>
        </w:rPr>
        <w:t xml:space="preserve"> трудящихся; </w:t>
      </w:r>
    </w:p>
    <w:p w:rsidR="00351E64" w:rsidRPr="00351E64" w:rsidRDefault="00351E64" w:rsidP="009472CE">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принцип законности, предполагающий построение системы наказаний в точном и безусловном соответствии с положениями и духом Основных законов Советского государства и основанных на них нормативных актов, а также возможность восстановления законных прав и интересов советских граждан в случаях судебных ошибок;</w:t>
      </w:r>
    </w:p>
    <w:p w:rsidR="00351E64" w:rsidRPr="00351E64" w:rsidRDefault="00351E64" w:rsidP="009472CE">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принцип гуманизма, заключающийся в стремлении законодателя предусмотреть такие виды в системе наказаний, используя которые можно было бы наиболее эффективно оградить наше общество от преступности и преступников, а также в уважении к человеческому достоинству преступника;</w:t>
      </w:r>
    </w:p>
    <w:p w:rsidR="00351E64" w:rsidRPr="00351E64" w:rsidRDefault="00351E64" w:rsidP="009472CE">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принцип демократизма, который предполагает установление в системе наказаний таких их видов, которые было бы возможно применять к любому гражданину, совершившему преступление, независимо от его социального, имущественного и служебного положения, национальной, расовой принадлежности и вероисповедания, исходя из общественной опасности его личности и им содеянного. Этот принцип, по мнению </w:t>
      </w:r>
      <w:proofErr w:type="spellStart"/>
      <w:r w:rsidRPr="00351E64">
        <w:rPr>
          <w:rFonts w:ascii="Times New Roman" w:eastAsia="Times New Roman" w:hAnsi="Times New Roman" w:cs="Times New Roman"/>
          <w:sz w:val="24"/>
          <w:szCs w:val="24"/>
          <w:lang w:eastAsia="ru-RU"/>
        </w:rPr>
        <w:t>Багрий</w:t>
      </w:r>
      <w:proofErr w:type="spellEnd"/>
      <w:r w:rsidRPr="00351E64">
        <w:rPr>
          <w:rFonts w:ascii="Times New Roman" w:eastAsia="Times New Roman" w:hAnsi="Times New Roman" w:cs="Times New Roman"/>
          <w:sz w:val="24"/>
          <w:szCs w:val="24"/>
          <w:lang w:eastAsia="ru-RU"/>
        </w:rPr>
        <w:t xml:space="preserve">-Шахматова Л.В., вместе с тем предполагает установление в системе наказаний подавляющего большинства его видов, не связанных с лишением свободы. Тем самым будто бы создается возможность широкого привлечения представителей трудящихся к </w:t>
      </w:r>
      <w:proofErr w:type="spellStart"/>
      <w:proofErr w:type="gramStart"/>
      <w:r w:rsidRPr="00351E64">
        <w:rPr>
          <w:rFonts w:ascii="Times New Roman" w:eastAsia="Times New Roman" w:hAnsi="Times New Roman" w:cs="Times New Roman"/>
          <w:sz w:val="24"/>
          <w:szCs w:val="24"/>
          <w:lang w:eastAsia="ru-RU"/>
        </w:rPr>
        <w:t>ис</w:t>
      </w:r>
      <w:proofErr w:type="spellEnd"/>
      <w:r w:rsidRPr="00351E64">
        <w:rPr>
          <w:rFonts w:ascii="Times New Roman" w:eastAsia="Times New Roman" w:hAnsi="Times New Roman" w:cs="Times New Roman"/>
          <w:sz w:val="24"/>
          <w:szCs w:val="24"/>
          <w:lang w:eastAsia="ru-RU"/>
        </w:rPr>
        <w:t>-правлению</w:t>
      </w:r>
      <w:proofErr w:type="gramEnd"/>
      <w:r w:rsidRPr="00351E64">
        <w:rPr>
          <w:rFonts w:ascii="Times New Roman" w:eastAsia="Times New Roman" w:hAnsi="Times New Roman" w:cs="Times New Roman"/>
          <w:sz w:val="24"/>
          <w:szCs w:val="24"/>
          <w:lang w:eastAsia="ru-RU"/>
        </w:rPr>
        <w:t xml:space="preserve"> и перевоспитанию осужденных</w:t>
      </w:r>
      <w:hyperlink r:id="rId140" w:anchor="139" w:history="1">
        <w:r w:rsidRPr="00351E64">
          <w:rPr>
            <w:rFonts w:ascii="Times New Roman" w:eastAsia="Times New Roman" w:hAnsi="Times New Roman" w:cs="Times New Roman"/>
            <w:color w:val="0000FF"/>
            <w:sz w:val="24"/>
            <w:szCs w:val="24"/>
            <w:u w:val="single"/>
            <w:vertAlign w:val="superscript"/>
            <w:lang w:eastAsia="ru-RU"/>
          </w:rPr>
          <w:t>139</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 мнению этого автора, для специфических принципов построения системы наказаний характерно якобы то, что в них находят свое отражение отраслевые принципы уголовного права и принципы одного из его основных институтов - наказания, которые законодатель реализует в системе наказаний, закрепляя в уголовном законе тот или иной их вид</w:t>
      </w:r>
      <w:hyperlink r:id="rId141" w:anchor="127" w:history="1">
        <w:r w:rsidRPr="00351E64">
          <w:rPr>
            <w:rFonts w:ascii="Times New Roman" w:eastAsia="Times New Roman" w:hAnsi="Times New Roman" w:cs="Times New Roman"/>
            <w:color w:val="0000FF"/>
            <w:sz w:val="24"/>
            <w:szCs w:val="24"/>
            <w:u w:val="single"/>
            <w:vertAlign w:val="superscript"/>
            <w:lang w:eastAsia="ru-RU"/>
          </w:rPr>
          <w:t>140</w:t>
        </w:r>
      </w:hyperlink>
      <w:r w:rsidRPr="00351E64">
        <w:rPr>
          <w:rFonts w:ascii="Times New Roman" w:eastAsia="Times New Roman" w:hAnsi="Times New Roman" w:cs="Times New Roman"/>
          <w:sz w:val="24"/>
          <w:szCs w:val="24"/>
          <w:lang w:eastAsia="ru-RU"/>
        </w:rPr>
        <w:t>. К таковым этот автор относит:</w:t>
      </w:r>
    </w:p>
    <w:p w:rsidR="00351E64" w:rsidRPr="00351E64" w:rsidRDefault="00351E64" w:rsidP="009472CE">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принцип неотвратимости наказания, существо которого заключается в том, чтобы действующая система наказаний предусматривала определенное разнообразие их видов в интересах обеспечения возможности и обязательности реагирования государства и общественности на любой случай совершения преступления и, тем самым, предупреждения преступности;</w:t>
      </w:r>
    </w:p>
    <w:p w:rsidR="00351E64" w:rsidRPr="00351E64" w:rsidRDefault="00351E64" w:rsidP="009472CE">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принцип индивидуализации наказания, который, как отмечает автор, предполагает наличие в системе не только разнообразных видов наказаний и их делимость, с тем чтобы назначать наказания с учетом характера и степени общественной опасности совершенного преступления, личности виновного и обстоятельств дела, смягчающих и отягчающих ответственность, но также учитывать действие наказания на конкретного преступника персонально, с тем чтобы причинять по возможности меньше тягот осужденному и близким ему лицам. Тем самым обеспечивается реализация таких отраслевых принципов уголовного права, как принцип персональной уголовной ответственности, соответствия уголовной ответственности характеру и степени общественной опасности преступления и личности преступника, индивидуализации ответственности за совершение преступления</w:t>
      </w:r>
      <w:hyperlink r:id="rId142" w:anchor="141" w:history="1">
        <w:r w:rsidRPr="00351E64">
          <w:rPr>
            <w:rFonts w:ascii="Times New Roman" w:eastAsia="Times New Roman" w:hAnsi="Times New Roman" w:cs="Times New Roman"/>
            <w:color w:val="0000FF"/>
            <w:sz w:val="24"/>
            <w:szCs w:val="24"/>
            <w:u w:val="single"/>
            <w:vertAlign w:val="superscript"/>
            <w:lang w:eastAsia="ru-RU"/>
          </w:rPr>
          <w:t>141</w:t>
        </w:r>
      </w:hyperlink>
      <w:r w:rsidRPr="00351E64">
        <w:rPr>
          <w:rFonts w:ascii="Times New Roman" w:eastAsia="Times New Roman" w:hAnsi="Times New Roman" w:cs="Times New Roman"/>
          <w:sz w:val="24"/>
          <w:szCs w:val="24"/>
          <w:lang w:eastAsia="ru-RU"/>
        </w:rPr>
        <w:t xml:space="preserve">; </w:t>
      </w:r>
    </w:p>
    <w:p w:rsidR="00351E64" w:rsidRPr="00351E64" w:rsidRDefault="00351E64" w:rsidP="009472CE">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принцип определенности наказаний, который находит свое выражение в том, что устанавливаемый законом перечень видов наказаний является исчерпывающим; </w:t>
      </w:r>
    </w:p>
    <w:p w:rsidR="00351E64" w:rsidRPr="00351E64" w:rsidRDefault="00351E64" w:rsidP="009472CE">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принцип целесообразной репрессивности, предполагающий построение системы наказаний таким образом, чтобы их разнообразные виды обеспечивали целесообразное карательное воздействие на преступника, с тем чтобы, причиняя ему определенные более или менее чувствительные нравственные страдания, без чего наказание немыслимо, вместе с тем не допускать физических страданий или унижения его человеческого достоинства;</w:t>
      </w:r>
    </w:p>
    <w:p w:rsidR="00351E64" w:rsidRPr="00351E64" w:rsidRDefault="00351E64" w:rsidP="009472CE">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принцип экономии карательных средств, главным содержанием которого является отбор минимального количества общественно опасных деяний для зачисления их в число преступных и тем самым вызывающих необходимость применения наказаний за их совершение.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Суждения </w:t>
      </w:r>
      <w:proofErr w:type="spellStart"/>
      <w:r w:rsidRPr="00351E64">
        <w:rPr>
          <w:rFonts w:ascii="Times New Roman" w:eastAsia="Times New Roman" w:hAnsi="Times New Roman" w:cs="Times New Roman"/>
          <w:sz w:val="24"/>
          <w:szCs w:val="24"/>
          <w:lang w:eastAsia="ru-RU"/>
        </w:rPr>
        <w:t>Багрий</w:t>
      </w:r>
      <w:proofErr w:type="spellEnd"/>
      <w:r w:rsidRPr="00351E64">
        <w:rPr>
          <w:rFonts w:ascii="Times New Roman" w:eastAsia="Times New Roman" w:hAnsi="Times New Roman" w:cs="Times New Roman"/>
          <w:sz w:val="24"/>
          <w:szCs w:val="24"/>
          <w:lang w:eastAsia="ru-RU"/>
        </w:rPr>
        <w:t>-Шахматова Л.В. по рассматриваемому вопросу в ряде случаев являются неприемлемыми в современных условиях либо спорными. Во-первых, представляется неприемлемым деление принципов построения системы уголовных наказаний на общие и специальные. По нашему мнению, речь должна идти только об общих принципах формирования (построения) системы наказаний. Высказываясь в пользу деления принципов построения системы видов наказаний на общие и специальные, автор, как это видно, исходил из получившей в свое время широкое распространение в доктрине уголовного права точки зрения, согласно которой принципы уголовного права подразделялись на общие и специальные</w:t>
      </w:r>
      <w:hyperlink r:id="rId143" w:anchor="142" w:history="1">
        <w:r w:rsidRPr="00351E64">
          <w:rPr>
            <w:rFonts w:ascii="Times New Roman" w:eastAsia="Times New Roman" w:hAnsi="Times New Roman" w:cs="Times New Roman"/>
            <w:color w:val="0000FF"/>
            <w:sz w:val="24"/>
            <w:szCs w:val="24"/>
            <w:u w:val="single"/>
            <w:vertAlign w:val="superscript"/>
            <w:lang w:eastAsia="ru-RU"/>
          </w:rPr>
          <w:t>142</w:t>
        </w:r>
      </w:hyperlink>
      <w:r w:rsidRPr="00351E64">
        <w:rPr>
          <w:rFonts w:ascii="Times New Roman" w:eastAsia="Times New Roman" w:hAnsi="Times New Roman" w:cs="Times New Roman"/>
          <w:sz w:val="24"/>
          <w:szCs w:val="24"/>
          <w:lang w:eastAsia="ru-RU"/>
        </w:rPr>
        <w:t xml:space="preserve">. В современных условиях, когда в ч. 2 ст. 2 УК 1996 г. речь идет о принципах уголовной ответственности, следует иначе, чем прежде, решать проблему принципов уголовной ответственности и уголовного права. Поэтому представляется неприемлемым деление принципов уголовной ответственности на общие и специальные. Кроме того, не следует отождествлять принципы уголовной ответственности и принципы построения системы видов уголовных наказаний. При научном анализе изложенных выше положений возникает также сомнение относительно того, действительно ли названные </w:t>
      </w:r>
      <w:proofErr w:type="spellStart"/>
      <w:r w:rsidRPr="00351E64">
        <w:rPr>
          <w:rFonts w:ascii="Times New Roman" w:eastAsia="Times New Roman" w:hAnsi="Times New Roman" w:cs="Times New Roman"/>
          <w:sz w:val="24"/>
          <w:szCs w:val="24"/>
          <w:lang w:eastAsia="ru-RU"/>
        </w:rPr>
        <w:t>Багрий</w:t>
      </w:r>
      <w:proofErr w:type="spellEnd"/>
      <w:r w:rsidRPr="00351E64">
        <w:rPr>
          <w:rFonts w:ascii="Times New Roman" w:eastAsia="Times New Roman" w:hAnsi="Times New Roman" w:cs="Times New Roman"/>
          <w:sz w:val="24"/>
          <w:szCs w:val="24"/>
          <w:lang w:eastAsia="ru-RU"/>
        </w:rPr>
        <w:t xml:space="preserve">-Шахматовым Л.В. положения являются именно принципами построения системы наказаний. На наш взгляд, названные </w:t>
      </w:r>
      <w:proofErr w:type="spellStart"/>
      <w:r w:rsidRPr="00351E64">
        <w:rPr>
          <w:rFonts w:ascii="Times New Roman" w:eastAsia="Times New Roman" w:hAnsi="Times New Roman" w:cs="Times New Roman"/>
          <w:sz w:val="24"/>
          <w:szCs w:val="24"/>
          <w:lang w:eastAsia="ru-RU"/>
        </w:rPr>
        <w:t>Багрий</w:t>
      </w:r>
      <w:proofErr w:type="spellEnd"/>
      <w:r w:rsidRPr="00351E64">
        <w:rPr>
          <w:rFonts w:ascii="Times New Roman" w:eastAsia="Times New Roman" w:hAnsi="Times New Roman" w:cs="Times New Roman"/>
          <w:sz w:val="24"/>
          <w:szCs w:val="24"/>
          <w:lang w:eastAsia="ru-RU"/>
        </w:rPr>
        <w:t xml:space="preserve">-Шахматовым Л.В. общие и </w:t>
      </w:r>
      <w:proofErr w:type="spellStart"/>
      <w:r w:rsidRPr="00351E64">
        <w:rPr>
          <w:rFonts w:ascii="Times New Roman" w:eastAsia="Times New Roman" w:hAnsi="Times New Roman" w:cs="Times New Roman"/>
          <w:sz w:val="24"/>
          <w:szCs w:val="24"/>
          <w:lang w:eastAsia="ru-RU"/>
        </w:rPr>
        <w:t>специфичеcкие</w:t>
      </w:r>
      <w:proofErr w:type="spellEnd"/>
      <w:r w:rsidRPr="00351E64">
        <w:rPr>
          <w:rFonts w:ascii="Times New Roman" w:eastAsia="Times New Roman" w:hAnsi="Times New Roman" w:cs="Times New Roman"/>
          <w:sz w:val="24"/>
          <w:szCs w:val="24"/>
          <w:lang w:eastAsia="ru-RU"/>
        </w:rPr>
        <w:t xml:space="preserve"> принципы являются скорее принципами уголовного права (точнее принципами уголовной ответственности), а не принципами построения системы наказаний.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подтверждение сказанного рассмотрим принцип законности как основополагающую идею при построении системы видов наказаний. Как отмечает Л.В. </w:t>
      </w:r>
      <w:proofErr w:type="spellStart"/>
      <w:r w:rsidRPr="00351E64">
        <w:rPr>
          <w:rFonts w:ascii="Times New Roman" w:eastAsia="Times New Roman" w:hAnsi="Times New Roman" w:cs="Times New Roman"/>
          <w:sz w:val="24"/>
          <w:szCs w:val="24"/>
          <w:lang w:eastAsia="ru-RU"/>
        </w:rPr>
        <w:t>Багрий</w:t>
      </w:r>
      <w:proofErr w:type="spellEnd"/>
      <w:r w:rsidRPr="00351E64">
        <w:rPr>
          <w:rFonts w:ascii="Times New Roman" w:eastAsia="Times New Roman" w:hAnsi="Times New Roman" w:cs="Times New Roman"/>
          <w:sz w:val="24"/>
          <w:szCs w:val="24"/>
          <w:lang w:eastAsia="ru-RU"/>
        </w:rPr>
        <w:t>-Шахматов, принцип законности предполагает построение системы наказаний в точном и безусловном соответствии с положениями и духом Основных законов государства и основанных на них нормативных актов, а также возможность восстановления законных прав и интересов граждан в случаях судебных ошибок</w:t>
      </w:r>
      <w:hyperlink r:id="rId144" w:anchor="143" w:history="1">
        <w:r w:rsidRPr="00351E64">
          <w:rPr>
            <w:rFonts w:ascii="Times New Roman" w:eastAsia="Times New Roman" w:hAnsi="Times New Roman" w:cs="Times New Roman"/>
            <w:color w:val="0000FF"/>
            <w:sz w:val="24"/>
            <w:szCs w:val="24"/>
            <w:u w:val="single"/>
            <w:vertAlign w:val="superscript"/>
            <w:lang w:eastAsia="ru-RU"/>
          </w:rPr>
          <w:t>143</w:t>
        </w:r>
      </w:hyperlink>
      <w:r w:rsidRPr="00351E64">
        <w:rPr>
          <w:rFonts w:ascii="Times New Roman" w:eastAsia="Times New Roman" w:hAnsi="Times New Roman" w:cs="Times New Roman"/>
          <w:sz w:val="24"/>
          <w:szCs w:val="24"/>
          <w:lang w:eastAsia="ru-RU"/>
        </w:rPr>
        <w:t>. В целях уяснения содержания понятия законности обратимся к теории права. Законность - явление политики правовой жизни, признак политической системы</w:t>
      </w:r>
      <w:hyperlink r:id="rId145" w:anchor="144" w:history="1">
        <w:r w:rsidRPr="00351E64">
          <w:rPr>
            <w:rFonts w:ascii="Times New Roman" w:eastAsia="Times New Roman" w:hAnsi="Times New Roman" w:cs="Times New Roman"/>
            <w:color w:val="0000FF"/>
            <w:sz w:val="24"/>
            <w:szCs w:val="24"/>
            <w:u w:val="single"/>
            <w:vertAlign w:val="superscript"/>
            <w:lang w:eastAsia="ru-RU"/>
          </w:rPr>
          <w:t>144</w:t>
        </w:r>
      </w:hyperlink>
      <w:r w:rsidRPr="00351E64">
        <w:rPr>
          <w:rFonts w:ascii="Times New Roman" w:eastAsia="Times New Roman" w:hAnsi="Times New Roman" w:cs="Times New Roman"/>
          <w:sz w:val="24"/>
          <w:szCs w:val="24"/>
          <w:lang w:eastAsia="ru-RU"/>
        </w:rPr>
        <w:t>. Первый элемент законности - аспект общеобязательности права. Здесь законность является специфическим выражением свойств и регулятивных качеств права. Ведь право таково по самой своей природе, что мыслимо лишь в состоянии, когда образующие его нормативные предписания реально, фактически проводятся в жизнь. А коль скоро есть право, значит, существует и законность, т.е. такой порядок, при котором участники общественных отношений должны строго соблюдать и исполнять нормативные предписания.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xml:space="preserve">Следующий элемент законности - это идея законности, то есть формирующаяся в правосознании идея о целесообразности и необходимости такого реально правомерного поведения всех участников общественных отношений, при котором не оставалось бы места для произвола, фактически достигалась всеобщность права, действительная реализация субъективных прав. В соответствии с этим идея законности, охватываемые ею начала (равенство всех перед законом, высшая сила закона, неотвратимость юридической ответственности за правонарушения и пр.) выступают прежде всего по своей сути в качестве идеи политического сознания. Наиболее важный (третий) элемент законности заключается в том, что она как особое, отличное от собственно права самостоятельное явление складывается лишь тогда, когда отмеченные выше идеи и начала воплощаются в особом режиме общественно-политической жизни, в системе требований законности. Причем всегда отчетливо проявляется тесная связь законности с правом, как </w:t>
      </w:r>
      <w:proofErr w:type="spellStart"/>
      <w:r w:rsidRPr="00351E64">
        <w:rPr>
          <w:rFonts w:ascii="Times New Roman" w:eastAsia="Times New Roman" w:hAnsi="Times New Roman" w:cs="Times New Roman"/>
          <w:sz w:val="24"/>
          <w:szCs w:val="24"/>
          <w:lang w:eastAsia="ru-RU"/>
        </w:rPr>
        <w:t>институцонным</w:t>
      </w:r>
      <w:proofErr w:type="spellEnd"/>
      <w:r w:rsidRPr="00351E64">
        <w:rPr>
          <w:rFonts w:ascii="Times New Roman" w:eastAsia="Times New Roman" w:hAnsi="Times New Roman" w:cs="Times New Roman"/>
          <w:sz w:val="24"/>
          <w:szCs w:val="24"/>
          <w:lang w:eastAsia="ru-RU"/>
        </w:rPr>
        <w:t xml:space="preserve"> образованием: именно потому, что право конституируется через закон (и иные формы), данный режим и именуется законностью</w:t>
      </w:r>
      <w:hyperlink r:id="rId146" w:anchor="145" w:history="1">
        <w:r w:rsidRPr="00351E64">
          <w:rPr>
            <w:rFonts w:ascii="Times New Roman" w:eastAsia="Times New Roman" w:hAnsi="Times New Roman" w:cs="Times New Roman"/>
            <w:color w:val="0000FF"/>
            <w:sz w:val="24"/>
            <w:szCs w:val="24"/>
            <w:u w:val="single"/>
            <w:vertAlign w:val="superscript"/>
            <w:lang w:eastAsia="ru-RU"/>
          </w:rPr>
          <w:t>145</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Таким образом, законность является, а вернее, должна быть одним из основных атрибутов политического режима нашего государства</w:t>
      </w:r>
      <w:hyperlink r:id="rId147" w:anchor="146" w:history="1">
        <w:proofErr w:type="gramStart"/>
        <w:r w:rsidRPr="00351E64">
          <w:rPr>
            <w:rFonts w:ascii="Times New Roman" w:eastAsia="Times New Roman" w:hAnsi="Times New Roman" w:cs="Times New Roman"/>
            <w:color w:val="0000FF"/>
            <w:sz w:val="24"/>
            <w:szCs w:val="24"/>
            <w:u w:val="single"/>
            <w:vertAlign w:val="superscript"/>
            <w:lang w:eastAsia="ru-RU"/>
          </w:rPr>
          <w:t>146</w:t>
        </w:r>
      </w:hyperlink>
      <w:r w:rsidRPr="00351E64">
        <w:rPr>
          <w:rFonts w:ascii="Times New Roman" w:eastAsia="Times New Roman" w:hAnsi="Times New Roman" w:cs="Times New Roman"/>
          <w:sz w:val="24"/>
          <w:szCs w:val="24"/>
          <w:lang w:eastAsia="ru-RU"/>
        </w:rPr>
        <w:t xml:space="preserve"> .</w:t>
      </w:r>
      <w:proofErr w:type="gramEnd"/>
      <w:r w:rsidRPr="00351E64">
        <w:rPr>
          <w:rFonts w:ascii="Times New Roman" w:eastAsia="Times New Roman" w:hAnsi="Times New Roman" w:cs="Times New Roman"/>
          <w:sz w:val="24"/>
          <w:szCs w:val="24"/>
          <w:lang w:eastAsia="ru-RU"/>
        </w:rPr>
        <w:t xml:space="preserve"> Принцип законности имеет богатое содержание и в уголовном праве. Прежде всего он означает, что все положения, лежащие в основе привлечения лица к уголовной ответственности за содеянное, назначения наказания, освобождения от уголовной ответственности и наказания или наступления других правовых последствий совершения преступления, должны быть сформированы исключительно в федеральном законе как нормативном правовом акте федеральной государственной власти. Действующее уголовное законодательство элементы принципа законности закрепляет в статьях 2, 3, 8, 14, 19 и других статьях УК РФ 1996 г., в которых устанавливается, что преступлением признается виновно совершенное общественно опасное деяние, запрещенное </w:t>
      </w:r>
      <w:proofErr w:type="spellStart"/>
      <w:proofErr w:type="gramStart"/>
      <w:r w:rsidRPr="00351E64">
        <w:rPr>
          <w:rFonts w:ascii="Times New Roman" w:eastAsia="Times New Roman" w:hAnsi="Times New Roman" w:cs="Times New Roman"/>
          <w:sz w:val="24"/>
          <w:szCs w:val="24"/>
          <w:lang w:eastAsia="ru-RU"/>
        </w:rPr>
        <w:t>уголов-ным</w:t>
      </w:r>
      <w:proofErr w:type="spellEnd"/>
      <w:proofErr w:type="gramEnd"/>
      <w:r w:rsidRPr="00351E64">
        <w:rPr>
          <w:rFonts w:ascii="Times New Roman" w:eastAsia="Times New Roman" w:hAnsi="Times New Roman" w:cs="Times New Roman"/>
          <w:sz w:val="24"/>
          <w:szCs w:val="24"/>
          <w:lang w:eastAsia="ru-RU"/>
        </w:rPr>
        <w:t xml:space="preserve"> законом под угрозой наказания. Этими словами провозглашен важный демократический принцип "</w:t>
      </w:r>
      <w:proofErr w:type="spellStart"/>
      <w:r w:rsidRPr="00351E64">
        <w:rPr>
          <w:rFonts w:ascii="Times New Roman" w:eastAsia="Times New Roman" w:hAnsi="Times New Roman" w:cs="Times New Roman"/>
          <w:sz w:val="24"/>
          <w:szCs w:val="24"/>
          <w:lang w:eastAsia="ru-RU"/>
        </w:rPr>
        <w:t>nullum</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сrimen</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lеgе</w:t>
      </w:r>
      <w:proofErr w:type="spellEnd"/>
      <w:r w:rsidRPr="00351E64">
        <w:rPr>
          <w:rFonts w:ascii="Times New Roman" w:eastAsia="Times New Roman" w:hAnsi="Times New Roman" w:cs="Times New Roman"/>
          <w:sz w:val="24"/>
          <w:szCs w:val="24"/>
          <w:lang w:eastAsia="ru-RU"/>
        </w:rPr>
        <w:t>" - как ядро принципа законности в сфере уголовного права. На его основе разрешается важнейший вопрос уголовного права об основании уголовной ответственности, которым признается совершение деяния, содержащего все признаки состава преступления, предусмотренного Уголовным кодексом (ст. 8). Последнее положение имеет неоценимое значение для понимания законности.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 Российскому уголовному законодательству преступлением признается только конкретное общественно опасное действие или бездействие как внешний акт волевого поведения и не допускается ответственность за убеждения, взгляды, образ мыслей</w:t>
      </w:r>
      <w:hyperlink r:id="rId148" w:anchor="147" w:history="1">
        <w:r w:rsidRPr="00351E64">
          <w:rPr>
            <w:rFonts w:ascii="Times New Roman" w:eastAsia="Times New Roman" w:hAnsi="Times New Roman" w:cs="Times New Roman"/>
            <w:color w:val="0000FF"/>
            <w:sz w:val="24"/>
            <w:szCs w:val="24"/>
            <w:u w:val="single"/>
            <w:vertAlign w:val="superscript"/>
            <w:lang w:eastAsia="ru-RU"/>
          </w:rPr>
          <w:t>147</w:t>
        </w:r>
      </w:hyperlink>
      <w:r w:rsidRPr="00351E64">
        <w:rPr>
          <w:rFonts w:ascii="Times New Roman" w:eastAsia="Times New Roman" w:hAnsi="Times New Roman" w:cs="Times New Roman"/>
          <w:sz w:val="24"/>
          <w:szCs w:val="24"/>
          <w:lang w:eastAsia="ru-RU"/>
        </w:rPr>
        <w:t xml:space="preserve">. Содержание принципа законности уголовной ответственности определяется в ст. 3 УК, согласно которой преступность деяния, а также его наказуемость и иные уголовно-правовые последствия определяются только настоящим Кодексом. Применение уголовного закона по аналогии не допускается. Развернутая доктринальная формулировка законности как принципа уголовного права дана В.Н. Кудрявцевым и С.Г. </w:t>
      </w:r>
      <w:proofErr w:type="spellStart"/>
      <w:r w:rsidRPr="00351E64">
        <w:rPr>
          <w:rFonts w:ascii="Times New Roman" w:eastAsia="Times New Roman" w:hAnsi="Times New Roman" w:cs="Times New Roman"/>
          <w:sz w:val="24"/>
          <w:szCs w:val="24"/>
          <w:lang w:eastAsia="ru-RU"/>
        </w:rPr>
        <w:t>Келиной</w:t>
      </w:r>
      <w:proofErr w:type="spellEnd"/>
      <w:r w:rsidRPr="00351E64">
        <w:rPr>
          <w:rFonts w:ascii="Times New Roman" w:eastAsia="Times New Roman" w:hAnsi="Times New Roman" w:cs="Times New Roman"/>
          <w:sz w:val="24"/>
          <w:szCs w:val="24"/>
          <w:lang w:eastAsia="ru-RU"/>
        </w:rPr>
        <w:t xml:space="preserve"> следующим образом: "</w:t>
      </w:r>
    </w:p>
    <w:p w:rsidR="00351E64" w:rsidRPr="00351E64" w:rsidRDefault="00351E64" w:rsidP="009472CE">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преступность, наказуемость деяния и иные уголовно-правовые последствия его совершения определяются только уголовным законом; </w:t>
      </w:r>
    </w:p>
    <w:p w:rsidR="00351E64" w:rsidRPr="00351E64" w:rsidRDefault="00351E64" w:rsidP="009472CE">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лицо, признанное виновным в совершении преступления, несет обязанности и пользуется правами, установленными законом;</w:t>
      </w:r>
    </w:p>
    <w:p w:rsidR="00351E64" w:rsidRPr="00351E64" w:rsidRDefault="00351E64" w:rsidP="009472CE">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содержание уголовного закона следует понимать в точном соответствии с его текстом"</w:t>
      </w:r>
      <w:hyperlink r:id="rId149" w:anchor="148" w:history="1">
        <w:r w:rsidRPr="00351E64">
          <w:rPr>
            <w:rFonts w:ascii="Times New Roman" w:eastAsia="Times New Roman" w:hAnsi="Times New Roman" w:cs="Times New Roman"/>
            <w:color w:val="0000FF"/>
            <w:sz w:val="24"/>
            <w:szCs w:val="24"/>
            <w:u w:val="single"/>
            <w:vertAlign w:val="superscript"/>
            <w:lang w:eastAsia="ru-RU"/>
          </w:rPr>
          <w:t>148</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Сказанное выше и указания ч. 2 ст. 2 УК 1996 г. свидетельствуют о том, что законность по действующему уголовному законодательству является принципом уголовной ответственности, однако не может рассматриваться в качестве принципа построения системы уголовных наказаний. Обратимся теперь к специфическому принципу построения системы наказаний "определенности", который, по мнению Л.В. </w:t>
      </w:r>
      <w:proofErr w:type="spellStart"/>
      <w:r w:rsidRPr="00351E64">
        <w:rPr>
          <w:rFonts w:ascii="Times New Roman" w:eastAsia="Times New Roman" w:hAnsi="Times New Roman" w:cs="Times New Roman"/>
          <w:sz w:val="24"/>
          <w:szCs w:val="24"/>
          <w:lang w:eastAsia="ru-RU"/>
        </w:rPr>
        <w:t>Багрий</w:t>
      </w:r>
      <w:proofErr w:type="spellEnd"/>
      <w:r w:rsidRPr="00351E64">
        <w:rPr>
          <w:rFonts w:ascii="Times New Roman" w:eastAsia="Times New Roman" w:hAnsi="Times New Roman" w:cs="Times New Roman"/>
          <w:sz w:val="24"/>
          <w:szCs w:val="24"/>
          <w:lang w:eastAsia="ru-RU"/>
        </w:rPr>
        <w:t>-Шахматова, находит свое выражение в том, что устанавливаемый законом перечень видов наказаний является исчерпывающим. Никакие другие наказания, кроме охватываемых системой наказаний соответствующего Уголовного кодекса, не могут быть назначены судом</w:t>
      </w:r>
      <w:hyperlink r:id="rId150" w:anchor="149" w:history="1">
        <w:r w:rsidRPr="00351E64">
          <w:rPr>
            <w:rFonts w:ascii="Times New Roman" w:eastAsia="Times New Roman" w:hAnsi="Times New Roman" w:cs="Times New Roman"/>
            <w:color w:val="0000FF"/>
            <w:sz w:val="24"/>
            <w:szCs w:val="24"/>
            <w:u w:val="single"/>
            <w:vertAlign w:val="superscript"/>
            <w:lang w:eastAsia="ru-RU"/>
          </w:rPr>
          <w:t>149</w:t>
        </w:r>
      </w:hyperlink>
      <w:r w:rsidRPr="00351E64">
        <w:rPr>
          <w:rFonts w:ascii="Times New Roman" w:eastAsia="Times New Roman" w:hAnsi="Times New Roman" w:cs="Times New Roman"/>
          <w:sz w:val="24"/>
          <w:szCs w:val="24"/>
          <w:lang w:eastAsia="ru-RU"/>
        </w:rPr>
        <w:t xml:space="preserve">. На наш взгляд, этим автором содержание принципа определенности при построении системы наказаний трактуется неправильно. Определенность как принцип построения системы наказаний С.В. </w:t>
      </w:r>
      <w:proofErr w:type="spellStart"/>
      <w:r w:rsidRPr="00351E64">
        <w:rPr>
          <w:rFonts w:ascii="Times New Roman" w:eastAsia="Times New Roman" w:hAnsi="Times New Roman" w:cs="Times New Roman"/>
          <w:sz w:val="24"/>
          <w:szCs w:val="24"/>
          <w:lang w:eastAsia="ru-RU"/>
        </w:rPr>
        <w:t>Познышев</w:t>
      </w:r>
      <w:proofErr w:type="spellEnd"/>
      <w:r w:rsidRPr="00351E64">
        <w:rPr>
          <w:rFonts w:ascii="Times New Roman" w:eastAsia="Times New Roman" w:hAnsi="Times New Roman" w:cs="Times New Roman"/>
          <w:sz w:val="24"/>
          <w:szCs w:val="24"/>
          <w:lang w:eastAsia="ru-RU"/>
        </w:rPr>
        <w:t xml:space="preserve"> трактовал как установление в перечне наказаний с точным указанием их размеров и сроков, недопустимость неопределенных приговоров. Трактовка содержания принципа определенности системы наказаний, по С.В. </w:t>
      </w:r>
      <w:proofErr w:type="spellStart"/>
      <w:r w:rsidRPr="00351E64">
        <w:rPr>
          <w:rFonts w:ascii="Times New Roman" w:eastAsia="Times New Roman" w:hAnsi="Times New Roman" w:cs="Times New Roman"/>
          <w:sz w:val="24"/>
          <w:szCs w:val="24"/>
          <w:lang w:eastAsia="ru-RU"/>
        </w:rPr>
        <w:t>Познышеву</w:t>
      </w:r>
      <w:proofErr w:type="spellEnd"/>
      <w:r w:rsidRPr="00351E64">
        <w:rPr>
          <w:rFonts w:ascii="Times New Roman" w:eastAsia="Times New Roman" w:hAnsi="Times New Roman" w:cs="Times New Roman"/>
          <w:sz w:val="24"/>
          <w:szCs w:val="24"/>
          <w:lang w:eastAsia="ru-RU"/>
        </w:rPr>
        <w:t>, является предпочтительнее. Исчерпывающий перечень видов наказаний является существенным признаком системы наказаний, а не принципом ее построения. А коль скоро система наказаний определена уголовным законом, то она имеет для суда строго обязательный характер.</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Нельзя согласиться и с тем, что классовость является (может быть) принципом построения системы уголовных наказаний. Это противоречило бы принципу равенства граждан перед законом, закрепленному в ст. 4 УК 1996 года. "Лица, совершившие преступления, - говорится в ст. 4 УК, -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По нашему мнению, для решения вопроса о том, какое отправное положение необходимо возводить в ранг принципа построения системы уголовных наказаний, следует исходить из того, что таковым следует считать правило, согласно которому в систему наказаний целесообразно включать только такие виды наказаний, которые соответствуют нравственным представлениям и ожиданиям народа в данный период истории развития страны и не являются весьма обременительными для общества и государства. "Для эффективности наказания, - писал М.Д. Шаргородский, - большое значение имеет социальный климат и общественное мнение, отношение общества, тех, с кем считается конкретный субъект, т.е. для определения эффективности наказания необходимо </w:t>
      </w:r>
      <w:proofErr w:type="gramStart"/>
      <w:r w:rsidRPr="00351E64">
        <w:rPr>
          <w:rFonts w:ascii="Times New Roman" w:eastAsia="Times New Roman" w:hAnsi="Times New Roman" w:cs="Times New Roman"/>
          <w:sz w:val="24"/>
          <w:szCs w:val="24"/>
          <w:lang w:eastAsia="ru-RU"/>
        </w:rPr>
        <w:t>учитывать</w:t>
      </w:r>
      <w:proofErr w:type="gramEnd"/>
      <w:r w:rsidRPr="00351E64">
        <w:rPr>
          <w:rFonts w:ascii="Times New Roman" w:eastAsia="Times New Roman" w:hAnsi="Times New Roman" w:cs="Times New Roman"/>
          <w:sz w:val="24"/>
          <w:szCs w:val="24"/>
          <w:lang w:eastAsia="ru-RU"/>
        </w:rPr>
        <w:t xml:space="preserve"> как макро-; так и микросреду"</w:t>
      </w:r>
      <w:hyperlink r:id="rId151" w:anchor="150" w:history="1">
        <w:r w:rsidRPr="00351E64">
          <w:rPr>
            <w:rFonts w:ascii="Times New Roman" w:eastAsia="Times New Roman" w:hAnsi="Times New Roman" w:cs="Times New Roman"/>
            <w:color w:val="0000FF"/>
            <w:sz w:val="24"/>
            <w:szCs w:val="24"/>
            <w:u w:val="single"/>
            <w:vertAlign w:val="superscript"/>
            <w:lang w:eastAsia="ru-RU"/>
          </w:rPr>
          <w:t>150</w:t>
        </w:r>
      </w:hyperlink>
      <w:r w:rsidRPr="00351E64">
        <w:rPr>
          <w:rFonts w:ascii="Times New Roman" w:eastAsia="Times New Roman" w:hAnsi="Times New Roman" w:cs="Times New Roman"/>
          <w:sz w:val="24"/>
          <w:szCs w:val="24"/>
          <w:lang w:eastAsia="ru-RU"/>
        </w:rPr>
        <w:t xml:space="preserve">. Как указывал </w:t>
      </w:r>
      <w:proofErr w:type="spellStart"/>
      <w:r w:rsidRPr="00351E64">
        <w:rPr>
          <w:rFonts w:ascii="Times New Roman" w:eastAsia="Times New Roman" w:hAnsi="Times New Roman" w:cs="Times New Roman"/>
          <w:sz w:val="24"/>
          <w:szCs w:val="24"/>
          <w:lang w:eastAsia="ru-RU"/>
        </w:rPr>
        <w:t>Ф.Энгельс</w:t>
      </w:r>
      <w:proofErr w:type="spellEnd"/>
      <w:r w:rsidRPr="00351E64">
        <w:rPr>
          <w:rFonts w:ascii="Times New Roman" w:eastAsia="Times New Roman" w:hAnsi="Times New Roman" w:cs="Times New Roman"/>
          <w:sz w:val="24"/>
          <w:szCs w:val="24"/>
          <w:lang w:eastAsia="ru-RU"/>
        </w:rPr>
        <w:t>; "... не природа и человечество сообразуются с принципами, а, наоборот, принципы верны лишь постольку, поскольку они соответствуют природе и истории"</w:t>
      </w:r>
      <w:hyperlink r:id="rId152" w:anchor="151" w:history="1">
        <w:r w:rsidRPr="00351E64">
          <w:rPr>
            <w:rFonts w:ascii="Times New Roman" w:eastAsia="Times New Roman" w:hAnsi="Times New Roman" w:cs="Times New Roman"/>
            <w:color w:val="0000FF"/>
            <w:sz w:val="24"/>
            <w:szCs w:val="24"/>
            <w:u w:val="single"/>
            <w:vertAlign w:val="superscript"/>
            <w:lang w:eastAsia="ru-RU"/>
          </w:rPr>
          <w:t>151</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С учетом сказанного выше, по нашему мнению, при формировании в будущем системы наказаний по уголовному законодательству России следует руководствоваться такими принципами, как:</w:t>
      </w:r>
    </w:p>
    <w:p w:rsidR="00351E64" w:rsidRPr="00351E64" w:rsidRDefault="00351E64" w:rsidP="009472C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Принцип гуманизма при построении системы отдельных видов уголовных наказаний заключается прежде всего в том, что при построении системы наказаний необходимо учитывать фактор воздействия наказания. В связи с этим необходимо придерживаться ряда критериев. Во-первых, исключение неопределенных и бессрочных наказания, во-вторых, </w:t>
      </w:r>
      <w:proofErr w:type="gramStart"/>
      <w:r w:rsidRPr="00351E64">
        <w:rPr>
          <w:rFonts w:ascii="Times New Roman" w:eastAsia="Times New Roman" w:hAnsi="Times New Roman" w:cs="Times New Roman"/>
          <w:sz w:val="24"/>
          <w:szCs w:val="24"/>
          <w:lang w:eastAsia="ru-RU"/>
        </w:rPr>
        <w:t>наказания</w:t>
      </w:r>
      <w:proofErr w:type="gramEnd"/>
      <w:r w:rsidRPr="00351E64">
        <w:rPr>
          <w:rFonts w:ascii="Times New Roman" w:eastAsia="Times New Roman" w:hAnsi="Times New Roman" w:cs="Times New Roman"/>
          <w:sz w:val="24"/>
          <w:szCs w:val="24"/>
          <w:lang w:eastAsia="ru-RU"/>
        </w:rPr>
        <w:t xml:space="preserve"> характеризующиеся как неоправданно жестокие, унижающие и позорящие. </w:t>
      </w:r>
      <w:proofErr w:type="gramStart"/>
      <w:r w:rsidRPr="00351E64">
        <w:rPr>
          <w:rFonts w:ascii="Times New Roman" w:eastAsia="Times New Roman" w:hAnsi="Times New Roman" w:cs="Times New Roman"/>
          <w:sz w:val="24"/>
          <w:szCs w:val="24"/>
          <w:lang w:eastAsia="ru-RU"/>
        </w:rPr>
        <w:t>В-третьих</w:t>
      </w:r>
      <w:proofErr w:type="gramEnd"/>
      <w:r w:rsidRPr="00351E64">
        <w:rPr>
          <w:rFonts w:ascii="Times New Roman" w:eastAsia="Times New Roman" w:hAnsi="Times New Roman" w:cs="Times New Roman"/>
          <w:sz w:val="24"/>
          <w:szCs w:val="24"/>
          <w:lang w:eastAsia="ru-RU"/>
        </w:rPr>
        <w:t xml:space="preserve"> придавать значение наряду с наказанием и мерам воспитательного характера и т.д. </w:t>
      </w:r>
    </w:p>
    <w:p w:rsidR="00351E64" w:rsidRPr="00351E64" w:rsidRDefault="00351E64" w:rsidP="009472C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Принцип определенности каждого вида наказаний. По нашему мнению, принцип определенности каждого вида наказаний, при построении системы наказаний заключается в установлении наказаний с точным указанием их размеров и сроков, недопустимости неопределенных приговоров. </w:t>
      </w:r>
    </w:p>
    <w:p w:rsidR="00351E64" w:rsidRPr="00351E64" w:rsidRDefault="00351E64" w:rsidP="009472C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Принцип </w:t>
      </w:r>
      <w:proofErr w:type="spellStart"/>
      <w:r w:rsidRPr="00351E64">
        <w:rPr>
          <w:rFonts w:ascii="Times New Roman" w:eastAsia="Times New Roman" w:hAnsi="Times New Roman" w:cs="Times New Roman"/>
          <w:sz w:val="24"/>
          <w:szCs w:val="24"/>
          <w:lang w:eastAsia="ru-RU"/>
        </w:rPr>
        <w:t>восстановимости</w:t>
      </w:r>
      <w:proofErr w:type="spellEnd"/>
      <w:r w:rsidRPr="00351E64">
        <w:rPr>
          <w:rFonts w:ascii="Times New Roman" w:eastAsia="Times New Roman" w:hAnsi="Times New Roman" w:cs="Times New Roman"/>
          <w:sz w:val="24"/>
          <w:szCs w:val="24"/>
          <w:lang w:eastAsia="ru-RU"/>
        </w:rPr>
        <w:t xml:space="preserve"> наказаний. Предполагает, что в случае, если судом допущена судебная ошибка, судом возмещается ущерб (возвращение утраченного, возмещение материального ущерба, возмещение морального ущерба). Однако в системе наказаний не может реабилитироваться смертная казнь, т.к. она исключает восстановление. Не случайно смертная казнь названа в современном законодательстве исключительной мерой. </w:t>
      </w:r>
    </w:p>
    <w:p w:rsidR="00351E64" w:rsidRPr="00351E64" w:rsidRDefault="00351E64" w:rsidP="009472C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Принцип целесообразной и достаточной репрессивности включаемых в систему видов наказаний. На наш взгляд, содержание данного принципа заключается прежде всего в том, что наказания, определенные в системе наказаний, должны обеспечивать целесообразное и достаточно эффективное воздействие на осужденного, с учетом содеянного, при этом исключая моральные и физические унижения достоинства личности. </w:t>
      </w:r>
    </w:p>
    <w:p w:rsidR="00351E64" w:rsidRPr="00351E64" w:rsidRDefault="00351E64" w:rsidP="009472C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Принцип экономии при построении системы видов наказаний. </w:t>
      </w:r>
    </w:p>
    <w:p w:rsidR="00351E64" w:rsidRPr="00351E64" w:rsidRDefault="00351E64" w:rsidP="009472C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Принцип учета исторических традиций при ее построении и учета нравственных и религиозных воззрений народа.</w:t>
      </w:r>
    </w:p>
    <w:p w:rsidR="00351E64" w:rsidRPr="00351E64" w:rsidRDefault="00351E64" w:rsidP="009472C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Принцип справедливости при расположении в данной системе отдельных видов наказаний по признаку их тяжести. </w:t>
      </w:r>
    </w:p>
    <w:p w:rsidR="00351E64" w:rsidRPr="00351E64" w:rsidRDefault="00351E64" w:rsidP="009472C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Принцип расположения в системе отдельных наказаний от менее строгих к более строгим.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качестве принципа построения системы наказаний следует считать справедливость порядка расположения отдельных видов наказаний "от более тяжкого к менее тяжкому" или же их размещение "от менее тяжкого к более тяжкому", где в качестве критерия выступает сравнительная тяжесть отдельных видов наказания, т.е. справедливость при определении их относительной тяжести по отношению друг к другу. В УК РФ 1996 г. система наказаний построена по принципу "от менее тяжкого к более тяжкому". Данная система в большей мере соответствует принципу гуманизма в уголовной ответственности, закрепленному в ст. 7 УК. Авторы УК исходили из тезиса о том, что в будущем в борьбе с преступностью более широко будут применяться наказания, не связанные с лишением свободы. Эти виды наказаний будут все чаще признаваться необходимыми и достаточными для исправления виновного и предупреждения новых преступлений. При этих условиях система наказаний должна, в принципе, ориентировать суды на назначение сравнительно более мягкого наказания</w:t>
      </w:r>
      <w:hyperlink r:id="rId153" w:anchor="152" w:history="1">
        <w:r w:rsidRPr="00351E64">
          <w:rPr>
            <w:rFonts w:ascii="Times New Roman" w:eastAsia="Times New Roman" w:hAnsi="Times New Roman" w:cs="Times New Roman"/>
            <w:color w:val="0000FF"/>
            <w:sz w:val="24"/>
            <w:szCs w:val="24"/>
            <w:u w:val="single"/>
            <w:vertAlign w:val="superscript"/>
            <w:lang w:eastAsia="ru-RU"/>
          </w:rPr>
          <w:t>152</w:t>
        </w:r>
      </w:hyperlink>
      <w:r w:rsidRPr="00351E64">
        <w:rPr>
          <w:rFonts w:ascii="Times New Roman" w:eastAsia="Times New Roman" w:hAnsi="Times New Roman" w:cs="Times New Roman"/>
          <w:sz w:val="24"/>
          <w:szCs w:val="24"/>
          <w:lang w:eastAsia="ru-RU"/>
        </w:rPr>
        <w:t xml:space="preserve">. В развитие этого положения в ч. 1 ст. 60 УК устанавливается, что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w:t>
      </w:r>
      <w:r w:rsidRPr="00351E64">
        <w:rPr>
          <w:rFonts w:ascii="Times New Roman" w:eastAsia="Times New Roman" w:hAnsi="Times New Roman" w:cs="Times New Roman"/>
          <w:sz w:val="24"/>
          <w:szCs w:val="24"/>
          <w:lang w:eastAsia="ru-RU"/>
        </w:rPr>
        <w:lastRenderedPageBreak/>
        <w:t>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Как отмечалось выше, принципом построения системы видов </w:t>
      </w:r>
      <w:proofErr w:type="gramStart"/>
      <w:r w:rsidRPr="00351E64">
        <w:rPr>
          <w:rFonts w:ascii="Times New Roman" w:eastAsia="Times New Roman" w:hAnsi="Times New Roman" w:cs="Times New Roman"/>
          <w:sz w:val="24"/>
          <w:szCs w:val="24"/>
          <w:lang w:eastAsia="ru-RU"/>
        </w:rPr>
        <w:t>наказа-</w:t>
      </w:r>
      <w:proofErr w:type="spellStart"/>
      <w:r w:rsidRPr="00351E64">
        <w:rPr>
          <w:rFonts w:ascii="Times New Roman" w:eastAsia="Times New Roman" w:hAnsi="Times New Roman" w:cs="Times New Roman"/>
          <w:sz w:val="24"/>
          <w:szCs w:val="24"/>
          <w:lang w:eastAsia="ru-RU"/>
        </w:rPr>
        <w:t>ний</w:t>
      </w:r>
      <w:proofErr w:type="spellEnd"/>
      <w:proofErr w:type="gramEnd"/>
      <w:r w:rsidRPr="00351E64">
        <w:rPr>
          <w:rFonts w:ascii="Times New Roman" w:eastAsia="Times New Roman" w:hAnsi="Times New Roman" w:cs="Times New Roman"/>
          <w:sz w:val="24"/>
          <w:szCs w:val="24"/>
          <w:lang w:eastAsia="ru-RU"/>
        </w:rPr>
        <w:t xml:space="preserve"> является соблюдение справедливости при определении их соотносительной тяжести. Справедливость - категория (понятие) морально-правового и социально-политического сознания, понятие о должном, связанное с исторически меняющимися представлениями о неотъемлемых правах человека. Понятие справедливости предполагает требование соответствия между реальной значимостью различных индивидов (социальных групп) и их социальным положением, между их правами и обязанностями, между деянием и воздаянием, трудом и вознаграждением, преступлением и наказанием и т.п. Несоответствие в этих соотношениях оценивается как несправедливость</w:t>
      </w:r>
      <w:hyperlink r:id="rId154" w:anchor="153" w:history="1">
        <w:r w:rsidRPr="00351E64">
          <w:rPr>
            <w:rFonts w:ascii="Times New Roman" w:eastAsia="Times New Roman" w:hAnsi="Times New Roman" w:cs="Times New Roman"/>
            <w:color w:val="0000FF"/>
            <w:sz w:val="24"/>
            <w:szCs w:val="24"/>
            <w:u w:val="single"/>
            <w:vertAlign w:val="superscript"/>
            <w:lang w:eastAsia="ru-RU"/>
          </w:rPr>
          <w:t>153</w:t>
        </w:r>
      </w:hyperlink>
      <w:r w:rsidRPr="00351E64">
        <w:rPr>
          <w:rFonts w:ascii="Times New Roman" w:eastAsia="Times New Roman" w:hAnsi="Times New Roman" w:cs="Times New Roman"/>
          <w:sz w:val="24"/>
          <w:szCs w:val="24"/>
          <w:lang w:eastAsia="ru-RU"/>
        </w:rPr>
        <w:t>. Различают уравнивающий и распределяющий аспекты справедливости</w:t>
      </w:r>
      <w:hyperlink r:id="rId155" w:anchor="154" w:history="1">
        <w:r w:rsidRPr="00351E64">
          <w:rPr>
            <w:rFonts w:ascii="Times New Roman" w:eastAsia="Times New Roman" w:hAnsi="Times New Roman" w:cs="Times New Roman"/>
            <w:color w:val="0000FF"/>
            <w:sz w:val="24"/>
            <w:szCs w:val="24"/>
            <w:u w:val="single"/>
            <w:vertAlign w:val="superscript"/>
            <w:lang w:eastAsia="ru-RU"/>
          </w:rPr>
          <w:t>154</w:t>
        </w:r>
      </w:hyperlink>
      <w:r w:rsidRPr="00351E64">
        <w:rPr>
          <w:rFonts w:ascii="Times New Roman" w:eastAsia="Times New Roman" w:hAnsi="Times New Roman" w:cs="Times New Roman"/>
          <w:sz w:val="24"/>
          <w:szCs w:val="24"/>
          <w:lang w:eastAsia="ru-RU"/>
        </w:rPr>
        <w:t>. С точки зрения принципа справедливости в системе наказаний по УК 1996 г., представляется несправедливым порядок расположения видов наказаний по степени их тяжести.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Так, лишение права занимать определенные должности или заниматься определенной деятельностью в современных условиях вряд ли может восприниматься в качестве более мягкого вида наказания по сравнению с исправительными работами или с обязательными работами, лишением специального, воинского или почетного звания, классного чина и государственных наград (ст. 45 - 49 УК). Представляется также, что штраф в условиях рыночной экономики нельзя рассматривать как самое мягкое наказание при его минимуме в 25 минимальных размеров оплаты труда или в размере заработной платы, или </w:t>
      </w:r>
      <w:proofErr w:type="gramStart"/>
      <w:r w:rsidRPr="00351E64">
        <w:rPr>
          <w:rFonts w:ascii="Times New Roman" w:eastAsia="Times New Roman" w:hAnsi="Times New Roman" w:cs="Times New Roman"/>
          <w:sz w:val="24"/>
          <w:szCs w:val="24"/>
          <w:lang w:eastAsia="ru-RU"/>
        </w:rPr>
        <w:t>иного дохода</w:t>
      </w:r>
      <w:proofErr w:type="gramEnd"/>
      <w:r w:rsidRPr="00351E64">
        <w:rPr>
          <w:rFonts w:ascii="Times New Roman" w:eastAsia="Times New Roman" w:hAnsi="Times New Roman" w:cs="Times New Roman"/>
          <w:sz w:val="24"/>
          <w:szCs w:val="24"/>
          <w:lang w:eastAsia="ru-RU"/>
        </w:rPr>
        <w:t xml:space="preserve"> осужденного за период от двух недель и при максимуме до одной тысячи минимальных размеров оплаты труда, или в размере заработной платы, или иного дохода осужденного за период до одного года (ч. 2 ст. 46 УК). Проведенные расчеты показали, что штраф, с точки зрения материальных ограничений для осужденного в 25 минимальных размеров оплаты труда - более строгое наказание, чем исправительные работы на любой допустимый законом срок и при любом возможном по УК размере удержаний из заработка осужденного. Принято считать, что штраф - одноактное (разовое) наказание, а исправительные работы длятся в течение определенного времени и этим определяется их большая тяжесть. Однако карательное содержание рассматриваемых наказаний отличается при законопослушном поведении осужденного только тем, что осужденный к штрафу материально теряет во много раз больше, чем осужденный к исправительным работам. Каких-либо ограничений осужденный к исправительным работам по новому законодательству не претерпевает в случае добросовестного отношения к труду и соблюдения общественного порядка.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Также трудно объяснить, почему конфискация имущества может применяться только в качестве дополнительного наказания, однако не может быть назначена в качестве основного наказания за преступление корыстного характера. Мы полагаем, что в УК целесообразно установить, что конфискация имущества может применяться как в качестве основного, так и в качестве дополнительного наказания. Так, по нашему мнению, в УК неудачно решается вопрос о включении в систему наказаний тех из них, которые могут </w:t>
      </w:r>
      <w:r w:rsidRPr="00351E64">
        <w:rPr>
          <w:rFonts w:ascii="Times New Roman" w:eastAsia="Times New Roman" w:hAnsi="Times New Roman" w:cs="Times New Roman"/>
          <w:sz w:val="24"/>
          <w:szCs w:val="24"/>
          <w:lang w:eastAsia="ru-RU"/>
        </w:rPr>
        <w:lastRenderedPageBreak/>
        <w:t xml:space="preserve">применяться только в качестве дополнительных наказаний (а это лишает смысла установление им места в системе наказаний). Дополнительное наказание в виде лишения специального воинского или почетного звания, классного чина и государственных наград следует исключить из системы наказаний и считать мерой уголовно-правового характера, которая может применяться по усмотрению суда при осуждении за умышленные тяжкие и особо тяжкие преступления с учетом личности виновного и других обстоятельств дела. При построении системы наказаний целесообразно отдельно устанавливать перечень видов наказаний, которые могут применяться как в качестве основного, так и в качестве дополнительного наказания. Вместе с тем следует формировать особый перечень видов наказаний, которые могут применяться только в качестве дополнительных наказаний или только в качестве специальных наказаний к военнослужащим. С учетом сказанного выше систему уголовных наказаний определяют </w:t>
      </w:r>
      <w:proofErr w:type="spellStart"/>
      <w:proofErr w:type="gramStart"/>
      <w:r w:rsidRPr="00351E64">
        <w:rPr>
          <w:rFonts w:ascii="Times New Roman" w:eastAsia="Times New Roman" w:hAnsi="Times New Roman" w:cs="Times New Roman"/>
          <w:sz w:val="24"/>
          <w:szCs w:val="24"/>
          <w:lang w:eastAsia="ru-RU"/>
        </w:rPr>
        <w:t>сле</w:t>
      </w:r>
      <w:proofErr w:type="spellEnd"/>
      <w:r w:rsidRPr="00351E64">
        <w:rPr>
          <w:rFonts w:ascii="Times New Roman" w:eastAsia="Times New Roman" w:hAnsi="Times New Roman" w:cs="Times New Roman"/>
          <w:sz w:val="24"/>
          <w:szCs w:val="24"/>
          <w:lang w:eastAsia="ru-RU"/>
        </w:rPr>
        <w:t>-дующим</w:t>
      </w:r>
      <w:proofErr w:type="gramEnd"/>
      <w:r w:rsidRPr="00351E64">
        <w:rPr>
          <w:rFonts w:ascii="Times New Roman" w:eastAsia="Times New Roman" w:hAnsi="Times New Roman" w:cs="Times New Roman"/>
          <w:sz w:val="24"/>
          <w:szCs w:val="24"/>
          <w:lang w:eastAsia="ru-RU"/>
        </w:rPr>
        <w:t xml:space="preserve"> образом. Видами наказаний являются:</w:t>
      </w:r>
    </w:p>
    <w:p w:rsidR="00351E64" w:rsidRPr="00351E64" w:rsidRDefault="00351E64" w:rsidP="009472C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а) обязательные работы; </w:t>
      </w:r>
    </w:p>
    <w:p w:rsidR="00351E64" w:rsidRPr="00351E64" w:rsidRDefault="00351E64" w:rsidP="009472C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б) исправительные работы;</w:t>
      </w:r>
    </w:p>
    <w:p w:rsidR="00351E64" w:rsidRPr="00351E64" w:rsidRDefault="00351E64" w:rsidP="009472C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лишение права занимать определенные должности или заниматься определенной деятельностью;</w:t>
      </w:r>
    </w:p>
    <w:p w:rsidR="00351E64" w:rsidRPr="00351E64" w:rsidRDefault="00351E64" w:rsidP="009472C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г) штраф;</w:t>
      </w:r>
    </w:p>
    <w:p w:rsidR="00351E64" w:rsidRPr="00351E64" w:rsidRDefault="00351E64" w:rsidP="009472C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д) конфискация имущества; </w:t>
      </w:r>
    </w:p>
    <w:p w:rsidR="00351E64" w:rsidRPr="00351E64" w:rsidRDefault="00351E64" w:rsidP="009472C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е) арест;</w:t>
      </w:r>
    </w:p>
    <w:p w:rsidR="00351E64" w:rsidRPr="00351E64" w:rsidRDefault="00351E64" w:rsidP="009472C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ж) лишение свободы на определенный срок;</w:t>
      </w:r>
    </w:p>
    <w:p w:rsidR="00351E64" w:rsidRPr="00351E64" w:rsidRDefault="00351E64" w:rsidP="009472C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з) пожизненное лишение свободы;</w:t>
      </w:r>
    </w:p>
    <w:p w:rsidR="00351E64" w:rsidRPr="00351E64" w:rsidRDefault="00351E64" w:rsidP="009472C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и) смертная казнь.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Ограничение свободы и содержание в дисциплинарной воинской части из УК исключить.</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pStyle w:val="a3"/>
        <w:jc w:val="center"/>
      </w:pPr>
      <w:r>
        <w:rPr>
          <w:rStyle w:val="a4"/>
        </w:rPr>
        <w:lastRenderedPageBreak/>
        <w:t>ВОПРОСЫ КЛАССИФИКАЦИИ И ТИПИЗАЦИИ ПРЕСТУПНЫХ ПОСЛЕДСТВИЙ</w:t>
      </w:r>
    </w:p>
    <w:p w:rsidR="00351E64" w:rsidRDefault="00351E64" w:rsidP="00351E64">
      <w:pPr>
        <w:pStyle w:val="a3"/>
        <w:jc w:val="center"/>
      </w:pPr>
    </w:p>
    <w:p w:rsidR="00351E64" w:rsidRDefault="00351E64" w:rsidP="00351E64">
      <w:pPr>
        <w:pStyle w:val="a3"/>
        <w:jc w:val="center"/>
      </w:pPr>
      <w:r>
        <w:rPr>
          <w:rStyle w:val="a4"/>
        </w:rPr>
        <w:t>А.Н. Каминский, ТИСБИ</w:t>
      </w:r>
    </w:p>
    <w:p w:rsidR="00351E64" w:rsidRDefault="00351E64" w:rsidP="00351E64">
      <w:pPr>
        <w:pStyle w:val="a3"/>
        <w:jc w:val="center"/>
      </w:pPr>
    </w:p>
    <w:p w:rsidR="00351E64" w:rsidRDefault="00351E64" w:rsidP="00351E64">
      <w:pPr>
        <w:pStyle w:val="a3"/>
        <w:jc w:val="both"/>
      </w:pPr>
      <w:r>
        <w:t xml:space="preserve">Каждое человеческое действие вызывает изменения в окружающей действительности. Так преступное деяние посягает на охраняемые уголовным законом общественные отношения, причиняя им ущерб. Преступное последствие в уголовном праве можно </w:t>
      </w:r>
      <w:proofErr w:type="gramStart"/>
      <w:r>
        <w:t>определить</w:t>
      </w:r>
      <w:proofErr w:type="gramEnd"/>
      <w:r>
        <w:t xml:space="preserve"> как предусмотренный уголовно-правовой нормой материальный или нематериальный вред, причиненный преступным действием (бездействием) объекту посягательства - охраняемым законом общественным отношениям и их участникам</w:t>
      </w:r>
      <w:hyperlink r:id="rId156" w:anchor="127" w:history="1">
        <w:r>
          <w:rPr>
            <w:rStyle w:val="a5"/>
            <w:vertAlign w:val="superscript"/>
          </w:rPr>
          <w:t>155</w:t>
        </w:r>
      </w:hyperlink>
      <w:r>
        <w:t>. Анализ преступных последствий предполагает их классификацию. В юридической литературе существуют различные классификации преступных последствий, которые осуществляются по признакам, характеризующим их содержание. В основу наиболее распространенной из них положен характер вреда, причиняемого объекту преступления.</w:t>
      </w:r>
    </w:p>
    <w:p w:rsidR="00351E64" w:rsidRDefault="00351E64" w:rsidP="00351E64">
      <w:pPr>
        <w:pStyle w:val="a3"/>
        <w:jc w:val="both"/>
      </w:pPr>
      <w:r>
        <w:t> </w:t>
      </w:r>
    </w:p>
    <w:p w:rsidR="00351E64" w:rsidRDefault="00351E64" w:rsidP="00351E64">
      <w:pPr>
        <w:pStyle w:val="a3"/>
        <w:jc w:val="both"/>
      </w:pPr>
      <w:r>
        <w:t>В зависимости от характера этого вреда последствия могут быть материальными и нематериальными. К первым должны быть отнесены последствия, выражающиеся в лишении человека жизни или повреждении его здоровья (личный, физический, материальный вред) либо вызывающие утрату или повреждение имущества и расходы (имущественный вред в виде прямого ущерба) или неполучение доходов, которые должны быть получены (имущественный вред в виде упущенной выгоды, неполучения должного). Иные последствия могут быть отнесены к нематериальным. Среди них нужно различать личный нематериальный (моральный) вред (когда нарушаются неимущественные права граждан) и неличный нематериальный вред (когда нарушаются неимущественные права государства, его установлений, различных организаций и т.п.)</w:t>
      </w:r>
      <w:hyperlink r:id="rId157" w:anchor="156" w:history="1">
        <w:r>
          <w:rPr>
            <w:rStyle w:val="a5"/>
            <w:vertAlign w:val="superscript"/>
          </w:rPr>
          <w:t>156</w:t>
        </w:r>
      </w:hyperlink>
      <w:r>
        <w:t>.</w:t>
      </w:r>
    </w:p>
    <w:p w:rsidR="00351E64" w:rsidRDefault="00351E64" w:rsidP="00351E64">
      <w:pPr>
        <w:pStyle w:val="a3"/>
        <w:jc w:val="both"/>
      </w:pPr>
      <w:r>
        <w:t> </w:t>
      </w:r>
    </w:p>
    <w:p w:rsidR="00351E64" w:rsidRDefault="00351E64" w:rsidP="00351E64">
      <w:pPr>
        <w:pStyle w:val="a3"/>
        <w:jc w:val="both"/>
      </w:pPr>
      <w:r>
        <w:t>Важное уголовно-правовое значение имеет классификация преступных последствий по признакам, характеризующим их социальное содержание. Она включает в себя деление преступных последствий, во-первых, по характеру их общественной опасности, то есть исходя из того, что при совершении преступлений против различных объектов результат преступного поведения имеет различное содержание. Например, при совершении кражи преступное поведение выражается в нарушении отношений собственности, при применении насилия в отношении представителя власти - в создании препятствий исполнению им обязанностей и т.д. Во-вторых, по степени их общественной опасности, основываясь на том, что одни и те же по своему характеру последствия могут иметь различное количественное выражение. Например, хищения чужого имущества в зависимости от причиненного собственнику ущерба подразделяются на хищения простые, причиняющие значительный ущерб, и в крупных размерах</w:t>
      </w:r>
      <w:hyperlink r:id="rId158" w:anchor="157" w:history="1">
        <w:r>
          <w:rPr>
            <w:rStyle w:val="a5"/>
            <w:vertAlign w:val="superscript"/>
          </w:rPr>
          <w:t>157</w:t>
        </w:r>
      </w:hyperlink>
      <w:r>
        <w:t>.</w:t>
      </w:r>
    </w:p>
    <w:p w:rsidR="00351E64" w:rsidRDefault="00351E64" w:rsidP="00351E64">
      <w:pPr>
        <w:pStyle w:val="a3"/>
        <w:jc w:val="both"/>
      </w:pPr>
      <w:r>
        <w:t> </w:t>
      </w:r>
    </w:p>
    <w:p w:rsidR="00351E64" w:rsidRDefault="00351E64" w:rsidP="00351E64">
      <w:pPr>
        <w:pStyle w:val="a3"/>
        <w:jc w:val="both"/>
      </w:pPr>
      <w:r>
        <w:t xml:space="preserve">Каждое общественное отношение тесно связано, переплетается с другими отношениями в той же или в смежных областях жизни. Оно влияет на них, порождая, изменяя или </w:t>
      </w:r>
      <w:r>
        <w:lastRenderedPageBreak/>
        <w:t>прекращая эти отношения, и испытывает с их стороны такое же воздействие. Поэтому при совершении преступления нередко причиняется ущерб по крайней мере нескольким видам смежных общественных отношений</w:t>
      </w:r>
      <w:hyperlink r:id="rId159" w:anchor="158" w:history="1">
        <w:r>
          <w:rPr>
            <w:rStyle w:val="a5"/>
            <w:vertAlign w:val="superscript"/>
          </w:rPr>
          <w:t>158</w:t>
        </w:r>
      </w:hyperlink>
      <w:r>
        <w:t>. Например, разбой выражается в причинении вреда личности потерпевшего, а также в нарушении отношений права собственности. С этой точки зрения преступные последствия, с учетом их социального содержания, подразделяют на основные и дополнительные. Основными последствиями принято считать именно те, для предотвращения которых установлена данная уголовно правовая норма. Дополнительными являются те последствия преступления, которые наступают наряду с основными. Они могут быть как факультативными элементами состава преступления, так и отягчающими обстоятельствами</w:t>
      </w:r>
      <w:hyperlink r:id="rId160" w:anchor="159" w:history="1">
        <w:r>
          <w:rPr>
            <w:rStyle w:val="a5"/>
            <w:vertAlign w:val="superscript"/>
          </w:rPr>
          <w:t>159</w:t>
        </w:r>
      </w:hyperlink>
      <w:r>
        <w:t>.</w:t>
      </w:r>
    </w:p>
    <w:p w:rsidR="00351E64" w:rsidRDefault="00351E64" w:rsidP="00351E64">
      <w:pPr>
        <w:pStyle w:val="a3"/>
        <w:jc w:val="both"/>
      </w:pPr>
      <w:r>
        <w:t> </w:t>
      </w:r>
    </w:p>
    <w:p w:rsidR="00351E64" w:rsidRDefault="00351E64" w:rsidP="00351E64">
      <w:pPr>
        <w:pStyle w:val="a3"/>
        <w:jc w:val="both"/>
      </w:pPr>
      <w:r>
        <w:t xml:space="preserve">В ряде статей Особенной части Уголовного Кодекса РФ говорится о возможности наступления тех или иных последствий. Например, к ним можно отнести оставление в опасном для жизни состоянии, нарушение правил хранения взрывчатых и радиоактивных веществ, ответственность за нарушение правил безопасности на объектах атомной энергетики и т.д. Возможность наступления вредных последствий можно </w:t>
      </w:r>
      <w:proofErr w:type="gramStart"/>
      <w:r>
        <w:t>определить</w:t>
      </w:r>
      <w:proofErr w:type="gramEnd"/>
      <w:r>
        <w:t xml:space="preserve"> как вредное последствие особого рода, так как она представляет собой такую объективную обстановку, которая создает реальную угрозу наступления вреда. Для правильного понимания содержания последствий такого рода необходимо различать две стороны этого вопроса. Каждое уголовно-противоправное действие может повлечь вредные последствия. Если действие вообще не способно вызвать вредные последствия, то оно и не будет признаваться уголовно-наказуемым. Таким образом, возможность наступления вредных последствий присуща всем уголовно-противоправным действиям. Однако это только абстрактная возможность. Но ее достаточно для конструирования уголовно-правовой нормы, которая сама является абстрактной категорией</w:t>
      </w:r>
      <w:hyperlink r:id="rId161" w:anchor="160" w:history="1">
        <w:r>
          <w:rPr>
            <w:rStyle w:val="a5"/>
            <w:vertAlign w:val="superscript"/>
          </w:rPr>
          <w:t>160</w:t>
        </w:r>
      </w:hyperlink>
      <w:r>
        <w:t xml:space="preserve">. Однако для привлечения конкретного лица к уголовной ответственности за нарушение такой нормы абстрактной возможности вреда недостаточно. Органы следствия и суд обязаны установить реальную возможность наступления вреда в данных конкретных условиях, т.е. доказать, что в той фактической обстановке, которая имела место во время совершения преступления, действие (бездействие) обвиняемого создавало </w:t>
      </w:r>
      <w:proofErr w:type="spellStart"/>
      <w:proofErr w:type="gramStart"/>
      <w:r>
        <w:t>действитель-ную</w:t>
      </w:r>
      <w:proofErr w:type="spellEnd"/>
      <w:proofErr w:type="gramEnd"/>
      <w:r>
        <w:t xml:space="preserve"> опасность причинения преступных последствий</w:t>
      </w:r>
      <w:hyperlink r:id="rId162" w:anchor="161" w:history="1">
        <w:r>
          <w:rPr>
            <w:rStyle w:val="a5"/>
            <w:vertAlign w:val="superscript"/>
          </w:rPr>
          <w:t>161</w:t>
        </w:r>
      </w:hyperlink>
      <w:r>
        <w:t>.</w:t>
      </w:r>
    </w:p>
    <w:p w:rsidR="00351E64" w:rsidRDefault="00351E64" w:rsidP="00351E64">
      <w:pPr>
        <w:pStyle w:val="a3"/>
        <w:jc w:val="both"/>
      </w:pPr>
      <w:r>
        <w:t> </w:t>
      </w:r>
    </w:p>
    <w:p w:rsidR="00351E64" w:rsidRDefault="00351E64" w:rsidP="00351E64">
      <w:pPr>
        <w:pStyle w:val="a3"/>
        <w:jc w:val="both"/>
      </w:pPr>
      <w:r>
        <w:t xml:space="preserve">Значительная часть преступлений описана в нормах закона таким образом, что в диспозициях вообще не указываются их последствия. Это обстоятельство послужило делению всех составов преступления на материальные, которые содержат последствие в составе преступления, и формальные, не содержащие в себе последствия. Но с делением по такому признаку не соглашаются ряд ученых, </w:t>
      </w:r>
      <w:proofErr w:type="gramStart"/>
      <w:r>
        <w:t>например</w:t>
      </w:r>
      <w:proofErr w:type="gramEnd"/>
      <w:r>
        <w:t xml:space="preserve"> В.Д. Филимонов, А.А. Пионтковский, считая, что это вопрос не о структуре преступлений или составов преступлений, а о доказательствах и о том, нужно или нет в определенных случаях отдельно от действия доказывать еще и наличие последствий. По их мнению, в материальных составах преступлений закон указывает, что при наступлении каких последствий возможна уголовная ответственность и какие именно последствия должны быть выявлены для привлечения лица к уголовной ответственности. В формальных составах преступные последствия надо специально доказывать при привлечении лица к уголовной ответственности. Причина этого в том, что в данном случае наступление преступных последствий неразрывно связано с совершением общественно опасного деяния</w:t>
      </w:r>
      <w:hyperlink r:id="rId163" w:anchor="162" w:history="1">
        <w:r>
          <w:rPr>
            <w:rStyle w:val="a5"/>
            <w:vertAlign w:val="superscript"/>
          </w:rPr>
          <w:t>162</w:t>
        </w:r>
      </w:hyperlink>
      <w:r>
        <w:t>.</w:t>
      </w:r>
    </w:p>
    <w:p w:rsidR="00351E64" w:rsidRDefault="00351E64" w:rsidP="00351E64">
      <w:pPr>
        <w:pStyle w:val="a3"/>
        <w:jc w:val="both"/>
      </w:pPr>
      <w:r>
        <w:t> </w:t>
      </w:r>
    </w:p>
    <w:p w:rsidR="00351E64" w:rsidRDefault="00351E64" w:rsidP="00351E64">
      <w:pPr>
        <w:pStyle w:val="a3"/>
        <w:jc w:val="both"/>
      </w:pPr>
      <w:r>
        <w:lastRenderedPageBreak/>
        <w:t>По особенностям конструкции признаков объективной стороны, кроме материальных и формальных составов преступления, выделяются еще усеченные, для признания которых оконченными не требуется наступления не только преступного результата, но и доведения до конца тех действий, которые способны вызвать данные последствия. Усеченный состав преступления законодатель считает оконченным на более ранней стадии преступных действий</w:t>
      </w:r>
      <w:hyperlink r:id="rId164" w:anchor="163" w:history="1">
        <w:proofErr w:type="gramStart"/>
        <w:r>
          <w:rPr>
            <w:rStyle w:val="a5"/>
            <w:vertAlign w:val="superscript"/>
          </w:rPr>
          <w:t>163</w:t>
        </w:r>
      </w:hyperlink>
      <w:r>
        <w:t xml:space="preserve"> .</w:t>
      </w:r>
      <w:proofErr w:type="gramEnd"/>
      <w:r>
        <w:t xml:space="preserve"> Особенностью такого состава является то, что в него не включено то последствие, на достижение которого направлено преступное деяние и основанием уголовной ответственности является создание реальной угрозы наступления того преступного результата, к которому стремится лицо</w:t>
      </w:r>
      <w:hyperlink r:id="rId165" w:anchor="164" w:history="1">
        <w:r>
          <w:rPr>
            <w:rStyle w:val="a5"/>
            <w:vertAlign w:val="superscript"/>
          </w:rPr>
          <w:t>164</w:t>
        </w:r>
      </w:hyperlink>
      <w:r>
        <w:t>. В тесной связи с классификацией преступных последствий находится и вопрос о их типизации. Она определяется исходя из содержания действий (бездействия) и общественных отношений отдельно для каждой из форм преступного деяния. При выделении типов преступных последствий необходимо исходить из типологии социальной деятельности и соответствующих ей действий.</w:t>
      </w:r>
    </w:p>
    <w:p w:rsidR="00351E64" w:rsidRDefault="00351E64" w:rsidP="00351E64">
      <w:pPr>
        <w:pStyle w:val="a3"/>
        <w:jc w:val="both"/>
      </w:pPr>
      <w:r>
        <w:t> </w:t>
      </w:r>
    </w:p>
    <w:p w:rsidR="00351E64" w:rsidRDefault="00351E64" w:rsidP="00351E64">
      <w:pPr>
        <w:pStyle w:val="a3"/>
        <w:jc w:val="both"/>
      </w:pPr>
      <w:r>
        <w:t xml:space="preserve">Таким образом, можно выделить несколько типов преступных результатов. Первый тип относится к продуктивному действию и состоит в создании общественно вредного продукта (вещи, предмета), явления, состояния. Этим типом действия может быть изготовление оружия, наркотиков, поддельных денег и т.д. Второй тип предполагает разрушающее действие и состоит в полной (разрушение, уничтожение, изъятие и т.п.) или частичной утрате (повреждение, нарушение, унижение и т.п.) какого-либо материального или нематериального блага. Третий тип указывает на сохраняющее действие и состоит в сохранении определенного вредного состояния или положения. Виновный совершает различные общественно опасные действия, в результате которых сохраняется вредное (опасное) для данных общественных отношений положение дел. Способом совершения здесь могут выступать незаконное хранение, ношение, перевозка, пересылка запрещенных в обороте предметов. Четвертый тип связан с подавляющим действием и состоит в </w:t>
      </w:r>
      <w:proofErr w:type="spellStart"/>
      <w:r>
        <w:t>недостижении</w:t>
      </w:r>
      <w:proofErr w:type="spellEnd"/>
      <w:r>
        <w:t xml:space="preserve"> какого-то общественно полезного блага. Этот результат причиняется путем подавления, пресечения, воспрепятствования наступлению общественно полезных событий, явлений либо совершению общественно полезных действий</w:t>
      </w:r>
      <w:hyperlink r:id="rId166" w:anchor="165" w:history="1">
        <w:r>
          <w:rPr>
            <w:rStyle w:val="a5"/>
            <w:vertAlign w:val="superscript"/>
          </w:rPr>
          <w:t>165</w:t>
        </w:r>
      </w:hyperlink>
      <w:r>
        <w:t>. Выделение типов вредных последствий дает наиболее общее представление о сущности вредных изменений общественных отношений.</w:t>
      </w:r>
    </w:p>
    <w:p w:rsidR="00351E64" w:rsidRDefault="00351E64" w:rsidP="00351E64">
      <w:pPr>
        <w:pStyle w:val="a3"/>
        <w:jc w:val="both"/>
      </w:pPr>
      <w:r>
        <w:t> </w:t>
      </w:r>
    </w:p>
    <w:p w:rsidR="00351E64" w:rsidRDefault="00351E64" w:rsidP="00351E64">
      <w:pPr>
        <w:pStyle w:val="a3"/>
        <w:jc w:val="both"/>
      </w:pPr>
      <w:r>
        <w:t>В заключение хотелось бы отметить, что любое преступное деяние всегда влечет за собой определенные изменения во внешнем мире, т.е. последствия. Правовое содержание последствий определяется их юридической природой. В соответствии с уголовным законодательством одни из них являются признаками состава преступления, другие же таким статусом не обладают. В последнем случае они могут стать обстоятельствами, отягчающими наказание</w:t>
      </w:r>
      <w:hyperlink r:id="rId167" w:anchor="127" w:history="1">
        <w:r>
          <w:rPr>
            <w:rStyle w:val="a5"/>
            <w:vertAlign w:val="superscript"/>
          </w:rPr>
          <w:t>166</w:t>
        </w:r>
      </w:hyperlink>
      <w:r>
        <w:t>.</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lastRenderedPageBreak/>
        <w:t>ПОГАШЕНИЕ И СНЯТИЕ СУДИМОСТИ ПРИ ОСУЖДЕНИИ ПО СОВОКУПНОСТИ ПРЕСТУПЛЕНИЙ И ПРИГОВОРОВ</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 xml:space="preserve">В.П. Малков, </w:t>
      </w:r>
      <w:proofErr w:type="spellStart"/>
      <w:r w:rsidRPr="00351E64">
        <w:rPr>
          <w:rFonts w:ascii="Times New Roman" w:eastAsia="Times New Roman" w:hAnsi="Times New Roman" w:cs="Times New Roman"/>
          <w:b/>
          <w:bCs/>
          <w:sz w:val="24"/>
          <w:szCs w:val="24"/>
          <w:lang w:eastAsia="ru-RU"/>
        </w:rPr>
        <w:t>д.ю.н</w:t>
      </w:r>
      <w:proofErr w:type="spellEnd"/>
      <w:r w:rsidRPr="00351E64">
        <w:rPr>
          <w:rFonts w:ascii="Times New Roman" w:eastAsia="Times New Roman" w:hAnsi="Times New Roman" w:cs="Times New Roman"/>
          <w:b/>
          <w:bCs/>
          <w:sz w:val="24"/>
          <w:szCs w:val="24"/>
          <w:lang w:eastAsia="ru-RU"/>
        </w:rPr>
        <w:t>., профессор, заслуженный деятель науки России и РТ</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Судебная практика свидетельствует о том, что значительная часть подсудимых осуждается по совокупности преступлений и по совокупности приговоров. Доля осужденных по совокупности преступлений и приговоров существенно возросла после введения в действие Уголовного кодекса Российской Федерации 1996 года, так как по этому УК существенно изменены в сторону ужесточения правила и пределы назначения наказания при названных видах множественности преступлений, а также в связи необоснованно широким применением судами условного осуждения (в 1997 г. - 52,2 %, а в 1998 г. - 51,4 % к общему числу осужденных) и совершением ими в течение испытательного срока новых преступлений</w:t>
      </w:r>
      <w:hyperlink r:id="rId168" w:anchor="167" w:history="1">
        <w:r w:rsidRPr="00351E64">
          <w:rPr>
            <w:rFonts w:ascii="Times New Roman" w:eastAsia="Times New Roman" w:hAnsi="Times New Roman" w:cs="Times New Roman"/>
            <w:color w:val="0000FF"/>
            <w:sz w:val="24"/>
            <w:szCs w:val="24"/>
            <w:u w:val="single"/>
            <w:vertAlign w:val="superscript"/>
            <w:lang w:eastAsia="ru-RU"/>
          </w:rPr>
          <w:t>167</w:t>
        </w:r>
      </w:hyperlink>
      <w:r w:rsidRPr="00351E64">
        <w:rPr>
          <w:rFonts w:ascii="Times New Roman" w:eastAsia="Times New Roman" w:hAnsi="Times New Roman" w:cs="Times New Roman"/>
          <w:sz w:val="24"/>
          <w:szCs w:val="24"/>
          <w:lang w:eastAsia="ru-RU"/>
        </w:rPr>
        <w:t xml:space="preserve">. Не изжиты еще </w:t>
      </w:r>
      <w:proofErr w:type="gramStart"/>
      <w:r w:rsidRPr="00351E64">
        <w:rPr>
          <w:rFonts w:ascii="Times New Roman" w:eastAsia="Times New Roman" w:hAnsi="Times New Roman" w:cs="Times New Roman"/>
          <w:sz w:val="24"/>
          <w:szCs w:val="24"/>
          <w:lang w:eastAsia="ru-RU"/>
        </w:rPr>
        <w:t>практика квалификации</w:t>
      </w:r>
      <w:proofErr w:type="gramEnd"/>
      <w:r w:rsidRPr="00351E64">
        <w:rPr>
          <w:rFonts w:ascii="Times New Roman" w:eastAsia="Times New Roman" w:hAnsi="Times New Roman" w:cs="Times New Roman"/>
          <w:sz w:val="24"/>
          <w:szCs w:val="24"/>
          <w:lang w:eastAsia="ru-RU"/>
        </w:rPr>
        <w:t xml:space="preserve"> содеянного с "запасом" (по совокупности преступлений) и стремление наказать виновного построже</w:t>
      </w:r>
      <w:hyperlink r:id="rId169" w:anchor="168" w:history="1">
        <w:r w:rsidRPr="00351E64">
          <w:rPr>
            <w:rFonts w:ascii="Times New Roman" w:eastAsia="Times New Roman" w:hAnsi="Times New Roman" w:cs="Times New Roman"/>
            <w:color w:val="0000FF"/>
            <w:sz w:val="24"/>
            <w:szCs w:val="24"/>
            <w:u w:val="single"/>
            <w:vertAlign w:val="superscript"/>
            <w:lang w:eastAsia="ru-RU"/>
          </w:rPr>
          <w:t>168</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Правовая оценка содеянного как совокупности преступлений или совокупности приговоров влечет для осужденного не только ужесточение наказания, но и другие правовые последствия. В частности, это влечет возникновение у осужденного стечения нескольких судимостей при наличии одного осуждения либо двух или более (множественности) судимостей при наличии нескольких осуждений. Сказанное также связано с особыми правилами аннулирования возникших судимостей у осужденного по совокупности преступлений и по совокупности приговоров. В ст. 57 УК РСФСР 1960 г. содержались более или менее четкие указания относительно порядка аннулирования нескольких (</w:t>
      </w:r>
      <w:proofErr w:type="gramStart"/>
      <w:r w:rsidRPr="00351E64">
        <w:rPr>
          <w:rFonts w:ascii="Times New Roman" w:eastAsia="Times New Roman" w:hAnsi="Times New Roman" w:cs="Times New Roman"/>
          <w:sz w:val="24"/>
          <w:szCs w:val="24"/>
          <w:lang w:eastAsia="ru-RU"/>
        </w:rPr>
        <w:t>множествен-</w:t>
      </w:r>
      <w:proofErr w:type="spellStart"/>
      <w:r w:rsidRPr="00351E64">
        <w:rPr>
          <w:rFonts w:ascii="Times New Roman" w:eastAsia="Times New Roman" w:hAnsi="Times New Roman" w:cs="Times New Roman"/>
          <w:sz w:val="24"/>
          <w:szCs w:val="24"/>
          <w:lang w:eastAsia="ru-RU"/>
        </w:rPr>
        <w:t>ности</w:t>
      </w:r>
      <w:proofErr w:type="spellEnd"/>
      <w:proofErr w:type="gramEnd"/>
      <w:r w:rsidRPr="00351E64">
        <w:rPr>
          <w:rFonts w:ascii="Times New Roman" w:eastAsia="Times New Roman" w:hAnsi="Times New Roman" w:cs="Times New Roman"/>
          <w:sz w:val="24"/>
          <w:szCs w:val="24"/>
          <w:lang w:eastAsia="ru-RU"/>
        </w:rPr>
        <w:t>) судимостей, возникших при осуждении по совокупности приговоров либо при рецидиве преступлений, но не было в этой статье специальных постановлений о правилах погашения (или снятия) судимостей при их стечении у осужденного по совокупности преступлений (ст. 40 УК). В частности, в ч. 4 ст. 57 УК 1960 г. содержались следующие указания: "Если лицо, отбывшее наказание, до истечения срока погашения судимости вновь совершит преступление, течение срока, погашающего судимость, прерывается. Срок погашения судимости по первому преступлению исчисляется заново после фактического отбытия наказания (основного и дополнительного) за последнее преступление. В этих случаях лицо считается судимым за оба преступления до истечения срока погашения судимости за наиболее тяжкое преступление".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Таким образом, в УК 1960 г. был закреплен принцип одновременного аннулирования имеющихся у осужденного множественности судимостей с истечением срока, установленного законом для погашения судимости, возникшей в связи с осуждением лица за наиболее тяжкое преступление. В теории уголовного права и следственно-судебной практике такой же подход использовался и при решении вопроса о погашении нескольких судимостей применительно к случаям их стечения при осуждении лица по совокупности преступлений. В доктрине уголовного права была сформулирована рекомендация, согласно которой суд, рассматривая вопрос о снятии судимости с осужденного в порядке п. 8 ч. 1 и ч. 2 ст. 57 УК РСФСР, у которого имеется несколько судимостей, принимает решение о </w:t>
      </w:r>
      <w:r w:rsidRPr="00351E64">
        <w:rPr>
          <w:rFonts w:ascii="Times New Roman" w:eastAsia="Times New Roman" w:hAnsi="Times New Roman" w:cs="Times New Roman"/>
          <w:sz w:val="24"/>
          <w:szCs w:val="24"/>
          <w:lang w:eastAsia="ru-RU"/>
        </w:rPr>
        <w:lastRenderedPageBreak/>
        <w:t>снятии всех судимостей одновременно</w:t>
      </w:r>
      <w:hyperlink r:id="rId170" w:anchor="169" w:history="1">
        <w:r w:rsidRPr="00351E64">
          <w:rPr>
            <w:rFonts w:ascii="Times New Roman" w:eastAsia="Times New Roman" w:hAnsi="Times New Roman" w:cs="Times New Roman"/>
            <w:color w:val="0000FF"/>
            <w:sz w:val="24"/>
            <w:szCs w:val="24"/>
            <w:u w:val="single"/>
            <w:vertAlign w:val="superscript"/>
            <w:lang w:eastAsia="ru-RU"/>
          </w:rPr>
          <w:t>169</w:t>
        </w:r>
      </w:hyperlink>
      <w:r w:rsidRPr="00351E64">
        <w:rPr>
          <w:rFonts w:ascii="Times New Roman" w:eastAsia="Times New Roman" w:hAnsi="Times New Roman" w:cs="Times New Roman"/>
          <w:sz w:val="24"/>
          <w:szCs w:val="24"/>
          <w:lang w:eastAsia="ru-RU"/>
        </w:rPr>
        <w:t>. Иной подход к решению рассматриваемого вопроса во время действия УК 1960 г. и Основ уголовного законодательства Союза ССР и союзных республик 1958 г. справедливо считался противоречащим здравому смыслу: теория и практика исходили из того, что нельзя одного и того же осужденного считать не имеющим судимости в части осуждения, например, за разбой, и рассматривать его имеющим судимость за совершение изнасилования либо убийства.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литературе по этим вопросам пока глубоко обоснованных научных рекомендаций не высказано. Поэтому и в следственно-судебной практике по таким вопросам принимаются неоднозначные решения. Прежде чем рассмотреть особенности порядка погашения или снятия судимости с лиц, осужденных по совокупности преступлений или по совокупности приговоров, раскроем предварительно понятия совокупности преступлений и совокупности приговоров по уголовному праву России, а также предусмотренные в ч. 1 ст. 74, ч. 3 и ч. 5 ст. 86 и ст. 95 УК РФ правила погашения и снятия судимости и вводимые в научный оборот понятия стечения судимостей и множественности судимостей.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Согласно ч. 1 ст. 17 УК РФ совокупностью преступлений признается совершение двух или более преступлений, предусмотренных различными статьями или частями статьи Уголовного кодекса, ни за одно из которых лицо не было осуждено. При совокупности преступлений лицо несет уголовную ответственность за каждое совершенное преступление отдельно по соответствующей статье или части статьи этого УК. Порядок назначения окончательного наказания по совокупности преступлений различается в зависимости от того, из каких категорий тяжести преступных деяний слагается совокупность совершенных преступлений: из преступлений только небольшой тяжести, либо в эту совокупность входят хотя бы одно из преступных деяний средней тяжести, тяжкое или особо тяжкое преступление.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ч. 2 ст. 69 УК, в частности, указывается: если преступления, совершенные по совокупности, являются только преступлениями небольшой тяжести,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А коль скоро, в соответствии с ч. 2 ст. 15 УК, преступлениями небольшой тяжести признаются умышленные и неосторожные деяния, за совершение которых по закону может быть назначено наказание в виде лишения свободы не свыше двух лет либо иное более мягкое наказание, то окончательное наказание по совокупности таких преступлений может быть назначено не свыше двух лет лишения свободы либо другое более мягкое наказание в пределах максимального срока, предусмотренного Общей частью УК для данного вида наказания.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Однако согласно ч. 3 ст. 69 УК, если хотя бы одно из преступлений, совершенных по совокупности, является преступлением средней тяжести,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двадцати пяти лет.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УК.</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 вступлении обвинительного приговора в законную силу осужденный по совокупности преступлений считается имеющим судимость за каждое из совершенных преступлений, ее составляющих, при одном осуждении. Такую ситуацию целесообразно именовать</w:t>
      </w:r>
      <w:r w:rsidRPr="00351E64">
        <w:rPr>
          <w:rFonts w:ascii="Times New Roman" w:eastAsia="Times New Roman" w:hAnsi="Times New Roman" w:cs="Times New Roman"/>
          <w:b/>
          <w:bCs/>
          <w:i/>
          <w:iCs/>
          <w:sz w:val="24"/>
          <w:szCs w:val="24"/>
          <w:lang w:eastAsia="ru-RU"/>
        </w:rPr>
        <w:t xml:space="preserve"> </w:t>
      </w:r>
      <w:r w:rsidRPr="00351E64">
        <w:rPr>
          <w:rFonts w:ascii="Times New Roman" w:eastAsia="Times New Roman" w:hAnsi="Times New Roman" w:cs="Times New Roman"/>
          <w:i/>
          <w:iCs/>
          <w:sz w:val="24"/>
          <w:szCs w:val="24"/>
          <w:lang w:eastAsia="ru-RU"/>
        </w:rPr>
        <w:t>стечением</w:t>
      </w:r>
      <w:r w:rsidRPr="00351E64">
        <w:rPr>
          <w:rFonts w:ascii="Times New Roman" w:eastAsia="Times New Roman" w:hAnsi="Times New Roman" w:cs="Times New Roman"/>
          <w:b/>
          <w:bCs/>
          <w:i/>
          <w:iCs/>
          <w:sz w:val="24"/>
          <w:szCs w:val="24"/>
          <w:lang w:eastAsia="ru-RU"/>
        </w:rPr>
        <w:t xml:space="preserve"> </w:t>
      </w:r>
      <w:r w:rsidRPr="00351E64">
        <w:rPr>
          <w:rFonts w:ascii="Times New Roman" w:eastAsia="Times New Roman" w:hAnsi="Times New Roman" w:cs="Times New Roman"/>
          <w:sz w:val="24"/>
          <w:szCs w:val="24"/>
          <w:lang w:eastAsia="ru-RU"/>
        </w:rPr>
        <w:t>судимостей. Итак, под стечением судимостей нами предлагается понимать наличие у лица нескольких судимостей, возникших в связи с осуждением его по совокупности совершенных преступлений.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УК РФ 1996 г. не дается законодательного определения понятия совокупности приговоров. Однако по смыслу ст. 70 этого УК под совокупностью приговоров понимается совершение лицом нового преступления после вынесения приговора по первому делу, но до полного отбытия осужденным назначенного по этому приговору наказания. В ч. 1 ст. 70 УК, в частности, указывается, что при назначении наказания по совокупности приговоров к наказанию, назначенному по последнему приговору суда, частично или полностью присоединяется </w:t>
      </w:r>
      <w:proofErr w:type="spellStart"/>
      <w:r w:rsidRPr="00351E64">
        <w:rPr>
          <w:rFonts w:ascii="Times New Roman" w:eastAsia="Times New Roman" w:hAnsi="Times New Roman" w:cs="Times New Roman"/>
          <w:sz w:val="24"/>
          <w:szCs w:val="24"/>
          <w:lang w:eastAsia="ru-RU"/>
        </w:rPr>
        <w:t>неотбытая</w:t>
      </w:r>
      <w:proofErr w:type="spellEnd"/>
      <w:r w:rsidRPr="00351E64">
        <w:rPr>
          <w:rFonts w:ascii="Times New Roman" w:eastAsia="Times New Roman" w:hAnsi="Times New Roman" w:cs="Times New Roman"/>
          <w:sz w:val="24"/>
          <w:szCs w:val="24"/>
          <w:lang w:eastAsia="ru-RU"/>
        </w:rPr>
        <w:t xml:space="preserve"> часть наказания по предыдущему приговору суда. При осуждении по совокупности приговоров у осужденного возникает также несколько судимостей, которые, однако, в отличие от их стечения, целесообразно именовать множественностью судимостей. При совокупности приговоров лицо осуждается не один раз, а два или более раза, т.е. имеет место множественность осуждений лица за совершение нескольких преступлений, и соответственно этому у лица возникает множественность судимостей. Множественность судимостей имеет место также при совершении лицом преступления и осуждении за это при наличии в содеянном признаков рецидива, опасного рецидива и особо опасного рецидива преступлений, а также при совершении несовершеннолетним, имеющим не погашенную или не снятую судимость, нового преступного деяния в несовершеннолетнем возрасте.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ч. 3 ст. 86 УК 1996 г. устанавливается, что судимость погашается:</w:t>
      </w:r>
    </w:p>
    <w:p w:rsidR="00351E64" w:rsidRPr="00351E64" w:rsidRDefault="00351E64" w:rsidP="009472C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а) в отношении лиц, условно осужденных,- по истечении испытательного срока;</w:t>
      </w:r>
    </w:p>
    <w:p w:rsidR="00351E64" w:rsidRPr="00351E64" w:rsidRDefault="00351E64" w:rsidP="009472C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б) в отношении лиц, осужденных к более мягким видам наказаний, чем лишение свободы, - по истечении одного года после отбытия наказания;</w:t>
      </w:r>
    </w:p>
    <w:p w:rsidR="00351E64" w:rsidRPr="00351E64" w:rsidRDefault="00351E64" w:rsidP="009472C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в отношении лиц, осужденных к лишению свободы за преступления небольшой или средней тяжести, - по истечении трех лет после отбытия наказания;</w:t>
      </w:r>
    </w:p>
    <w:p w:rsidR="00351E64" w:rsidRPr="00351E64" w:rsidRDefault="00351E64" w:rsidP="009472C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г) в отношении лиц, осужденных к лишению свободы за тяжкие преступления, - по истечении шести лет после отбытия наказания;</w:t>
      </w:r>
    </w:p>
    <w:p w:rsidR="00351E64" w:rsidRPr="00351E64" w:rsidRDefault="00351E64" w:rsidP="009472C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д) в отношении лиц, осужденных за особо тяжкие преступления, - по истечении восьми лет после отбытия наказания.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Названные выше сроки погашения судимости законом сокращены применительно к осужденным, совершившим преступления до достижения возраста восемнадцати лет. В ст. 95 УК по этому вопросу сказано, что для лиц, совершивших преступления до достижения возраста восемнадцати лет, сроки погашения судимости, предусмотренные частью третьей статьи 86 УК, сокращаются и соответственно равны:</w:t>
      </w:r>
    </w:p>
    <w:p w:rsidR="00351E64" w:rsidRPr="00351E64" w:rsidRDefault="00351E64" w:rsidP="009472C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а) одному году после отбытия лишения свободы за преступления небольшой или средней тяжести;</w:t>
      </w:r>
    </w:p>
    <w:p w:rsidR="00351E64" w:rsidRPr="00351E64" w:rsidRDefault="00351E64" w:rsidP="009472C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б) трем годам после отбытия лишения свободы за тяжкое или особо тяжкое преступление.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1E64">
        <w:rPr>
          <w:rFonts w:ascii="Times New Roman" w:eastAsia="Times New Roman" w:hAnsi="Times New Roman" w:cs="Times New Roman"/>
          <w:sz w:val="24"/>
          <w:szCs w:val="24"/>
          <w:lang w:eastAsia="ru-RU"/>
        </w:rPr>
        <w:t>Cогласно</w:t>
      </w:r>
      <w:proofErr w:type="spellEnd"/>
      <w:r w:rsidRPr="00351E64">
        <w:rPr>
          <w:rFonts w:ascii="Times New Roman" w:eastAsia="Times New Roman" w:hAnsi="Times New Roman" w:cs="Times New Roman"/>
          <w:sz w:val="24"/>
          <w:szCs w:val="24"/>
          <w:lang w:eastAsia="ru-RU"/>
        </w:rPr>
        <w:t xml:space="preserve"> ст. 73 УК, если условно осужденный до истечения испытательного срока своим поведением докажет свое исправление, то по представлению органа, осуществляющего контроль за поведением условного осужденного, суд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судом испытательного срока. Кроме того, в ч. 5 ст. 86 УК установлено, что 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 учетом приведенных выше общих положений применительно к случаям аннулирования судимости у осужденных по совокупности преступлений можно сделать следующие выводы:</w:t>
      </w:r>
    </w:p>
    <w:p w:rsidR="00351E64" w:rsidRPr="00351E64" w:rsidRDefault="00351E64" w:rsidP="009472C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Если осужденному по совокупности преступлений назначено окончательное наказание, не связанное с лишением свободы, а прежде он не осуждался и, следовательно, не имеет предыдущих судимостей, то такой осужденный должен признаваться не имеющим соответствующих судимостей по истечении одного года </w:t>
      </w:r>
      <w:proofErr w:type="gramStart"/>
      <w:r w:rsidRPr="00351E64">
        <w:rPr>
          <w:rFonts w:ascii="Times New Roman" w:eastAsia="Times New Roman" w:hAnsi="Times New Roman" w:cs="Times New Roman"/>
          <w:sz w:val="24"/>
          <w:szCs w:val="24"/>
          <w:lang w:eastAsia="ru-RU"/>
        </w:rPr>
        <w:t>после отбытия</w:t>
      </w:r>
      <w:proofErr w:type="gramEnd"/>
      <w:r w:rsidRPr="00351E64">
        <w:rPr>
          <w:rFonts w:ascii="Times New Roman" w:eastAsia="Times New Roman" w:hAnsi="Times New Roman" w:cs="Times New Roman"/>
          <w:sz w:val="24"/>
          <w:szCs w:val="24"/>
          <w:lang w:eastAsia="ru-RU"/>
        </w:rPr>
        <w:t xml:space="preserve"> назначенного по совокупности преступлений окончательного наказания одного вида (если при этом не было назначено дополнительное наказание). Все судимости в таком случае погашаются одновременно, поскольку разновременное их погашение невозможно в силу одинакового срока, установленного п. "б" ч. 3 ст. 86 УК для погашения судимостей при осуждении к наказаниям, не связанным с лишением свободы. Однако если осужденному по совокупности преступлений назначены наказания в виде штрафа либо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и государственных наград при сложении их с исправительными работами, они исполняются самостоятельно, а следовательно, соответствующие судимости погашаются разновременно по истечении одного года со дня исполнения либо отбытия каждого самостоятельно исполняемого наказания, назначенного отдельно за каждое совершенное по совокупности преступление. </w:t>
      </w:r>
    </w:p>
    <w:p w:rsidR="00351E64" w:rsidRPr="00351E64" w:rsidRDefault="00351E64" w:rsidP="009472C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 осуждении к лишению свободы по совокупности преступлений, за одно (одни) из которых назначено наказание, не связанное с лишением свободы, а за другое (другие) - в виде лишения свободы, судимости у осужденного погашаются разновременно: возникшая в связи с совершением преступления, за которое </w:t>
      </w:r>
      <w:r w:rsidRPr="00351E64">
        <w:rPr>
          <w:rFonts w:ascii="Times New Roman" w:eastAsia="Times New Roman" w:hAnsi="Times New Roman" w:cs="Times New Roman"/>
          <w:sz w:val="24"/>
          <w:szCs w:val="24"/>
          <w:lang w:eastAsia="ru-RU"/>
        </w:rPr>
        <w:lastRenderedPageBreak/>
        <w:t>назначено наказание более мягкое, чем лишение свободы, судимость погашается по истечении одного года со дня отбытия осужденным окончательного наказания по совокупности преступлений, а судимость (судимости), возникшие в связи с совершением преступлений, за которые судом назначено наказание в виде лишения свободы, погашаются одновременно либо разновременно в зависимости от принадлежности этих преступлений к категории деяний небольшой или средней тяжести (по истечении трех лет), к категории тяжких преступлений (по истечении шести лет), к категории особо тяжких преступлений (по истечении восьми лет) после отбытия осужденным окончательного наказания, назначенного в виде лишения свободы по совокупности преступлений.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Рассмотрим вопрос о порядке погашения судимости у лица, осужденного по совокупности преступлений к наказаниям, не связанным с лишением свободы, одно из которых совершено в несовершеннолетнем возрасте, а другое - по достижении восемнадцати лет, </w:t>
      </w:r>
      <w:proofErr w:type="gramStart"/>
      <w:r w:rsidRPr="00351E64">
        <w:rPr>
          <w:rFonts w:ascii="Times New Roman" w:eastAsia="Times New Roman" w:hAnsi="Times New Roman" w:cs="Times New Roman"/>
          <w:sz w:val="24"/>
          <w:szCs w:val="24"/>
          <w:lang w:eastAsia="ru-RU"/>
        </w:rPr>
        <w:t>либо</w:t>
      </w:r>
      <w:proofErr w:type="gramEnd"/>
      <w:r w:rsidRPr="00351E64">
        <w:rPr>
          <w:rFonts w:ascii="Times New Roman" w:eastAsia="Times New Roman" w:hAnsi="Times New Roman" w:cs="Times New Roman"/>
          <w:sz w:val="24"/>
          <w:szCs w:val="24"/>
          <w:lang w:eastAsia="ru-RU"/>
        </w:rPr>
        <w:t xml:space="preserve"> когда лицо было осуждено к лишению свободы за преступления различной категории тяжести: в первом случае - за совершение деяния в несовершеннолетнем возрасте, а в последующем - по достижении возраста восемнадцати лет. Как уже говорилось выше, в ст. 95 УК установлено, что для лиц, совершивших преступления до достижения возраста восемнадцати лет, сроки погашения судимости, предусмотренные частью третьей ст. 86 УК, сокращаются. Применительно к случаям осуждения к лишению свободы эти сроки соответственно равны:</w:t>
      </w:r>
    </w:p>
    <w:p w:rsidR="00351E64" w:rsidRPr="00351E64" w:rsidRDefault="00351E64" w:rsidP="009472CE">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а) одному году после отбытия лишения свободы за преступления небольшой или средней тяжести;</w:t>
      </w:r>
    </w:p>
    <w:p w:rsidR="00351E64" w:rsidRPr="00351E64" w:rsidRDefault="00351E64" w:rsidP="009472CE">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б) трем годам после отбытия лишения свободы за тяжкое ли особо тяжкое преступление.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Однако в части случаев осуждения несовершеннолетних к наказанию, не связанному с лишением свободы, в ст. 95 УК вопрос о сроке, необходимом для погашения судимости, остался не решенным. В литературе высказано мнение, что в случае осуждения лица, совершившего преступление до достижения 18 лет, к более мягкому наказанию, чем лишение свободы, сроки погашения судимости исчисляются в соответствии с п. "б" ч. 3 ст. 86 УК</w:t>
      </w:r>
      <w:hyperlink r:id="rId171" w:anchor="170" w:history="1">
        <w:r w:rsidRPr="00351E64">
          <w:rPr>
            <w:rFonts w:ascii="Times New Roman" w:eastAsia="Times New Roman" w:hAnsi="Times New Roman" w:cs="Times New Roman"/>
            <w:color w:val="0000FF"/>
            <w:sz w:val="24"/>
            <w:szCs w:val="24"/>
            <w:u w:val="single"/>
            <w:vertAlign w:val="superscript"/>
            <w:lang w:eastAsia="ru-RU"/>
          </w:rPr>
          <w:t>170</w:t>
        </w:r>
      </w:hyperlink>
      <w:r w:rsidRPr="00351E64">
        <w:rPr>
          <w:rFonts w:ascii="Times New Roman" w:eastAsia="Times New Roman" w:hAnsi="Times New Roman" w:cs="Times New Roman"/>
          <w:sz w:val="24"/>
          <w:szCs w:val="24"/>
          <w:lang w:eastAsia="ru-RU"/>
        </w:rPr>
        <w:t>, т.е. судимость погашается по истечении одного года со дня отбытия основного или дополнительного наказания. Эта точка зрения представляется неприемлемой или по крайней мере спорной по следующим соображениям.</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Согласно ст. 94 УК РФ сроки давности, предусмотренные статьями 78 и 83 этого УК, при освобождении несовершеннолетних от уголовной ответственности или от отбывания наказания сокращаются наполовину. В статье 95 УК также предусматривается, что для лиц, совершивших преступления до достижения возраста восемнадцати лет, предусмотренные частью третьей ст. 86 УК сроки погашения судимости сокращаются. Однако в этой статье при этом не указывается, насколько они сокращаются применительно к случаям осуждения к наказаниям, не связанным с лишением свободы. Это пробел уголовного закона. Преодоление этого пробела закона путем толкования его в неблагоприятную для осужденного сторону недопустимо. Поэтому в качестве гипотез для обсуждения этого </w:t>
      </w:r>
      <w:r w:rsidRPr="00351E64">
        <w:rPr>
          <w:rFonts w:ascii="Times New Roman" w:eastAsia="Times New Roman" w:hAnsi="Times New Roman" w:cs="Times New Roman"/>
          <w:sz w:val="24"/>
          <w:szCs w:val="24"/>
          <w:lang w:eastAsia="ru-RU"/>
        </w:rPr>
        <w:lastRenderedPageBreak/>
        <w:t>вопроса могут быть выдвинуты два варианта решения, благоприятные с точки зрения правовых последствий для осужденного:</w:t>
      </w:r>
    </w:p>
    <w:p w:rsidR="00351E64" w:rsidRPr="00351E64" w:rsidRDefault="00351E64" w:rsidP="009472C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а) такой осужденный после отбытия не связанного с лишением свободы наказания признается не имеющим судимости;</w:t>
      </w:r>
    </w:p>
    <w:p w:rsidR="00351E64" w:rsidRPr="00351E64" w:rsidRDefault="00351E64" w:rsidP="009472C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б) такой осужденный признается не имеющим судимости после истечения шести месяцев (т.е. после истечения половины предусмотренного п. "б" части третьей ст. 86 УК срока) со дня отбытия наказания.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Наиболее предпочтительным представляется второй вариант решения. Во-первых, потому, что лицо, осужденное за совершение преступления, считается судимым со дня вступления обвинительного приговора в законную силу до момента погашения или снятия судимости. Во-вторых, судимость погашается при осуждении лица к реальному отбыванию наказания по истечении установленных в части третьей ст. 86 и в ст. 95 УК РФ сроков после отбытия наказания. И в-третьих, было бы несправедливо считать не имеющим судимости лицо, которое, например, в ходе отбывания наказания, не связанного с лишением свободы, с положительной стороны себя не проявило. С учетом сказанного выше, мне представляется, что судимости, возникшие в связи с осуждением по совокупности преступлений в несовершеннолетнем возрасте к наказанию более мягкому, чем лишение свободы, погашаются одновременно по истечении шести месяцев после отбытия такого наказания. Однако при осуждении по совокупности преступлений к наказанию, не связанному с лишением свободы, в тех случаях, когда одно (или более) преступление совершено лицом в возрасте до восемнадцати лет, а другое (другие) - по достижении им восемнадцатилетнего возраста, соответствующие судимости погашаются разновременно: за деяния, совершенные в возрасте до восемнадцати лет, - по истечения шести месяцев после отбытия окончательного наказания по совокупности преступлений, а за совершение преступлений в совершеннолетнем возрасте - по истечении одного года после отбытия наказания.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Когда же лицо было осуждено по совокупности преступлений, совершенных им в несовершеннолетнем возрасте, за которые назначено наказание в каждом случае в виде лишения свободы, соответствующие судимости у такого осужденного погашаются разновременно:</w:t>
      </w:r>
    </w:p>
    <w:p w:rsidR="00351E64" w:rsidRPr="00351E64" w:rsidRDefault="00351E64" w:rsidP="009472CE">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а) по истечении одного года после отбытия лишения свободы в связи с осуждением за преступления небольшой или средней тяжести;</w:t>
      </w:r>
    </w:p>
    <w:p w:rsidR="00351E64" w:rsidRPr="00351E64" w:rsidRDefault="00351E64" w:rsidP="009472CE">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б) по истечении трех лет после отбытия лишения свободы за тяжкое или особо тяжкое преступление.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Если за одно из преступлений небольшой тяжести, совершенных лицом в несовершеннолетнем возрасте, было назначено наказание в виде лишения свободы, за другое деяние той же тяжести, не связанное с лишением свободы, а окончательное наказание по совокупности преступлений - в виде лишения свободы, то возникшие судимости у такого осужденного погашаются разновременно по правилам п. "а" ст. 95 и п. "б" ч. 3 ст. 86 УК, т.е. первая судимость погашается по истечении одного года, а вторая - по истечении шести месяцев после отбытия наказания, назначенного по совокупности преступлений. По такому же принципу следует решать вопрос об исчислении сроков, </w:t>
      </w:r>
      <w:r w:rsidRPr="00351E64">
        <w:rPr>
          <w:rFonts w:ascii="Times New Roman" w:eastAsia="Times New Roman" w:hAnsi="Times New Roman" w:cs="Times New Roman"/>
          <w:sz w:val="24"/>
          <w:szCs w:val="24"/>
          <w:lang w:eastAsia="ru-RU"/>
        </w:rPr>
        <w:lastRenderedPageBreak/>
        <w:t>необходимых для погашения судимости у лиц, осужденных по совокупности преступлений, когда все или хотя бы одно из совершенных преступлений являются деяниями средней тяжести, тяжкими или особо тяжкими преступлениями.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Например, если лицо по совокупности совершенных деяний было осуждено к лишению свободы за тяжкое или особо тяжкое преступление, совершенное им в возрасте до восемнадцати лет, а за преступление средней или небольшой тяжести по достижению совершеннолетия, у такого осужденного судимости за отдельные преступления погашаются разновременно по истечении сроков, предусмотренных п. "б" ст. 95 и п. "в" ч. 3 ст. 86 УК РФ, после отбытия срока наказания, назначенного окончательно по совокупности преступлений. По тем же правилам следует решать вопрос о погашении судимости у осужденного, которому было назначено наказание по правилам ч. 5 ст. 69 УК, т.е. когда после вынесения приговора по делу было установлено, что осужденный виновен еще и в другом преступлении, совершенном им до вынесения приговора суда по первому делу.</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Наконец, рассмотрим особенности погашения множественности судимостей, возникающих при осуждении лица по совокупности приговоров. Изучение судебной практики показывает, что в одних случаях новое преступление лицом совершается после вынесения приговора, но до вступления его в законную силу, т.е. когда это лицо еще не считается имеющим судимость, а в других - после вступления в законную силу обвинительного приговора по первому делу, но до полного отбытия осужденным назначенного по этому приговору наказания, т.е. когда лицо считается уже имеющим судимость. Можно ли считать, что у осужденного по совокупности приговоров при первом варианте осуждения имеет место стечение судимостей, а во втором - множественность судимостей. В целях единообразного применения уголовного закона о назначении наказания необходимо также уяснить порядок аннулирования множественности судимостей в отличие от их стечения при осуждении по совокупности преступлений. Как уже о том говорилось выше, УК РФ 1996 г. отказался от порядка одновременного погашения судимостей, ориентированного на погашение или снятие судимости за наиболее тяжкое преступление.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Поэтому при раскрытии порядка погашения судимостей, возникших в связи с осуждением по совокупности приговоров, следует также исходить из принципа разновременного погашения множественности судимостей в зависимости от вида наказания, назначенного по каждому приговору, а также с учетом принадлежности совершенных преступлений к категории преступных деяний небольшой тяжести, средней тяжести, тяжких или особо тяжких преступлений. Однако течение срока погашения судимости за каждое из таких преступлений, назначенных по первому и последнему приговору, начинается после отбытия окончательного наказания, назначенного по совокупности приговоров. В ходе отбывания наказания, назначенного по совокупности приговоров, течение срока погашения судимости не имеет места как в связи с совершением преступления и осуждением по первому приговору, так и по последнему приговору. В случае, когда новое умышленное или неосторожное преступление совершается лицом после полного отбытия наказания по первому приговору, но до погашения или снятия судимости, течение срока погашения первой судимости не прерывается, а продолжается и во время отбывания наказания, назначенного за вновь совершенное преступление. Эта судимость может быть погашена за </w:t>
      </w:r>
      <w:r w:rsidRPr="00351E64">
        <w:rPr>
          <w:rFonts w:ascii="Times New Roman" w:eastAsia="Times New Roman" w:hAnsi="Times New Roman" w:cs="Times New Roman"/>
          <w:sz w:val="24"/>
          <w:szCs w:val="24"/>
          <w:lang w:eastAsia="ru-RU"/>
        </w:rPr>
        <w:lastRenderedPageBreak/>
        <w:t>истечением предусмотренного срока ч. 3 ст. 86 или ст. 95 УК до отбытия осужденным наказания за вновь совершенное преступление.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Иная ситуация складывается, когда новое преступление совершается лицом во время испытательного срока при условном осуждении, в период </w:t>
      </w:r>
      <w:proofErr w:type="spellStart"/>
      <w:r w:rsidRPr="00351E64">
        <w:rPr>
          <w:rFonts w:ascii="Times New Roman" w:eastAsia="Times New Roman" w:hAnsi="Times New Roman" w:cs="Times New Roman"/>
          <w:sz w:val="24"/>
          <w:szCs w:val="24"/>
          <w:lang w:eastAsia="ru-RU"/>
        </w:rPr>
        <w:t>неотбытого</w:t>
      </w:r>
      <w:proofErr w:type="spellEnd"/>
      <w:r w:rsidRPr="00351E64">
        <w:rPr>
          <w:rFonts w:ascii="Times New Roman" w:eastAsia="Times New Roman" w:hAnsi="Times New Roman" w:cs="Times New Roman"/>
          <w:sz w:val="24"/>
          <w:szCs w:val="24"/>
          <w:lang w:eastAsia="ru-RU"/>
        </w:rPr>
        <w:t xml:space="preserve"> наказания при условно-досрочном освобождении либо во время отбывания наказания, назначенного по предыдущему приговору. Во всех таких случаях осужденному назначается наказание по совокупности приговоров: к наказанию, назначенному по последнему приговору, полностью или частично присоединяется </w:t>
      </w:r>
      <w:proofErr w:type="spellStart"/>
      <w:r w:rsidRPr="00351E64">
        <w:rPr>
          <w:rFonts w:ascii="Times New Roman" w:eastAsia="Times New Roman" w:hAnsi="Times New Roman" w:cs="Times New Roman"/>
          <w:sz w:val="24"/>
          <w:szCs w:val="24"/>
          <w:lang w:eastAsia="ru-RU"/>
        </w:rPr>
        <w:t>неотбытое</w:t>
      </w:r>
      <w:proofErr w:type="spellEnd"/>
      <w:r w:rsidRPr="00351E64">
        <w:rPr>
          <w:rFonts w:ascii="Times New Roman" w:eastAsia="Times New Roman" w:hAnsi="Times New Roman" w:cs="Times New Roman"/>
          <w:sz w:val="24"/>
          <w:szCs w:val="24"/>
          <w:lang w:eastAsia="ru-RU"/>
        </w:rPr>
        <w:t xml:space="preserve"> наказание по предыдущему приговору. При этом осужденный отбывает наказание как по первому, так и по последнему приговору, а это означает, что во время отбывания наказания по совокупности приговоров сроки погашения судимости не текут как по предыдущему, так и по последнему приговору.</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lastRenderedPageBreak/>
        <w:t>СОВРЕМЕННЫЕ ПРОБЛЕМЫ ВЗАИМОДЕЙСТВИЯ СБ ООН С РЕГИОНАЛЬНЫМИ ОРГАНИЗАЦИЯМИ В СФЕРЕ ОБЕСПЕЧЕНИЯ МЕЖДУНАРОДНОГО МИРА И БЕЗОПАСНОСТИ</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М.В. Андреев, КГУ</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 основании Устава ООН за Советом Безопасности закреплена главная ответственность за поддержание международного мира и безопасности. В соответствии со ст. 11 Устава только СБ может предпринять действия, в первую очередь принудительного характера, в этой сфере. Безусловно, Совет Безопасности может прибегать к помощи других международных институтов, в частности, региональных организаций, однако только при условии сохранения за СБ всей полноты руководства и контроля в отношении этих структур. Так, ст. 53 Устава ООН определено, что "СБ использует, где уместно, такие региональные соглашения или органы для принудительных действий под его руководством". Помимо статей Устава ООН, существует еще Учредительный договор, из которого следует, что ни один из органов Организации не вправе передавать свои функции другому органу, государству или группе государств.</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Однако несмотря на столь жесткую регламентацию исключительности компетенции СБ в сфере обеспечения международного мира и безопасности, особенностью ОПМ нового поколения стала именно </w:t>
      </w:r>
      <w:proofErr w:type="spellStart"/>
      <w:r w:rsidRPr="00351E64">
        <w:rPr>
          <w:rFonts w:ascii="Times New Roman" w:eastAsia="Times New Roman" w:hAnsi="Times New Roman" w:cs="Times New Roman"/>
          <w:sz w:val="24"/>
          <w:szCs w:val="24"/>
          <w:lang w:eastAsia="ru-RU"/>
        </w:rPr>
        <w:t>неподконтрольность</w:t>
      </w:r>
      <w:proofErr w:type="spellEnd"/>
      <w:r w:rsidRPr="00351E64">
        <w:rPr>
          <w:rFonts w:ascii="Times New Roman" w:eastAsia="Times New Roman" w:hAnsi="Times New Roman" w:cs="Times New Roman"/>
          <w:sz w:val="24"/>
          <w:szCs w:val="24"/>
          <w:lang w:eastAsia="ru-RU"/>
        </w:rPr>
        <w:t xml:space="preserve"> этих операций СБ. В подтверждение достаточно привести лишь несколько примеров: Операция "Буря в пустыне" проводилась на основе резолюции 672 (1990) от 29 ноября 1990 г. (объем, характер, оценка последствий применения вооруженных сил не согласовывались с СБ);</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31 июля 1994 г. СБ принял резолюцию 940 - "формировать многонациональные войска" и "использовать все необходимые меры для отбытия из Гаити военного руководства". Осуществление этой операции взяла на себя в полном объеме администрация США. Руководствуясь резолюцией СБ, Бил Клинтон лично передал ультиматум военному руководству Гаити. 19 сентября на остров были доставлены 3 тысячи, а к октябрю уже 20 тысяч американских солдат и т.д.</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Проблемой этих операций c правовой точки зрения является даже не то, что руководство ими взяло на себя фактически одно государство - США, даже если руководство этими операциями осуществляется коллегиально рядом государств (так называемое коллегиальное миротворчество) - это есть грубейшее нарушение норм международного права, и в первую очередь, Устава ООН. Только СБ вправе проводить, или как минимум осуществлять руководство такими операциями - и это есть решение всех объединенных наций, выраженное в положениях Устава ООН, более того, СБ не имеет никакого права самостоятельно предавать осуществление этих полномочий определенному государству или их коалициям - решение об этом опять же могут принять только все объединенные нации, причем путем пересмотра Устава ООН. Таким образом, современная практика </w:t>
      </w:r>
      <w:r w:rsidRPr="00351E64">
        <w:rPr>
          <w:rFonts w:ascii="Times New Roman" w:eastAsia="Times New Roman" w:hAnsi="Times New Roman" w:cs="Times New Roman"/>
          <w:sz w:val="24"/>
          <w:szCs w:val="24"/>
          <w:lang w:eastAsia="ru-RU"/>
        </w:rPr>
        <w:lastRenderedPageBreak/>
        <w:t>самоустранения СБ при осуществлении принудительных действий по поддержанию международного мира и безопасности грубо противоречит положениям Устава ООН, регламентирующим правовой статус Совета и противоречит основным положениям Учредительного договора организации, закрепляющим неотъемлемость исключительных полномочий Совета Безопасности.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Основной же действующей силой при самоустранении СБ в миротворческих операциях нового поколения становится сегодня Североатлантический альянс, объединяющий наиболее развитые как в экономическом, так и в военно-политическом плане государства западного региона. Современная деятельность именно этой региональной организации в соответствии с фактами современной международной жизни является основным фактором резкого снижения эффективности деятельности Совета и умаления его главной роли в деле поддержания международного мира и безопасности.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Суть правовой проблематики взаимоотношений СБ ООН и НАТО заключается в принятии Альянсом своей новой стратегической концепции, посредством реализации которой роль Совета Безопасности будет "задвинута на второй план". В соответствии с новой стратегической концепцией, несмотря на формально декларируемую в ней главную ответственность СБ за поддержание международного мира и безопасности, именно НАТО должна стать основной и единственной "полицейской" организацией -гарантом современного миропорядка в системе новой архитектуры безопасности как в Евроатлантическом регионе, так и во всем мире. Реализация такой стратегической задачи осуществляется в настоящее время путем переосмысления ряда общепринятых правовых институтов, путем закрепления за ними необходимого и удобного для Альянса толкования.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соответствии с новой стратегической концепцией пересматриваются такие институты, как коллективная оборона, статус НАТО в качестве региональной организации, толкование и пути допустимой реализации "гуманитарной интервенции". Каждому такому новому толкованию далее хотелось бы дать правовою оценку.</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На основании положений Вашингтонского договора 1949 г., в соответствии с которым был создан Северо-атлантический Альянс, основанием для коллективной обороны признавалось только </w:t>
      </w:r>
      <w:r w:rsidRPr="00351E64">
        <w:rPr>
          <w:rFonts w:ascii="Times New Roman" w:eastAsia="Times New Roman" w:hAnsi="Times New Roman" w:cs="Times New Roman"/>
          <w:i/>
          <w:iCs/>
          <w:sz w:val="24"/>
          <w:szCs w:val="24"/>
          <w:lang w:eastAsia="ru-RU"/>
        </w:rPr>
        <w:t>вооруженное нападение</w:t>
      </w:r>
      <w:r w:rsidRPr="00351E64">
        <w:rPr>
          <w:rFonts w:ascii="Times New Roman" w:eastAsia="Times New Roman" w:hAnsi="Times New Roman" w:cs="Times New Roman"/>
          <w:sz w:val="24"/>
          <w:szCs w:val="24"/>
          <w:lang w:eastAsia="ru-RU"/>
        </w:rPr>
        <w:t xml:space="preserve">, причем действия сторон при этом строго привязывались к положениям ст. 51 Устава ООН, предусматривающей, в частности, что "меры, принятые членами Организации при осуществлении этого права на самооборону, должны быть немедленно сообщены Совету Безопасности и никоим образом не должны затрагивать полномочий и ответственности Совета Безопасности". Так, ст. 5 Вашингтонского договора предусмотрено, что "Стороны соглашаются, что вооруженное нападение на одну или несколько Сторон… будет считаться нападением на всех; и, соответственно, они договариваются, что в случае осуществления такого нападения каждая из них, реализуя свое законное право на индивидуальную и коллективную самооборону, подтвержденное статьей 51 Устава Организации Объединенных Наций, предоставит помощь той Стороне или Сторонам, которые подверглись нападению". Однако после </w:t>
      </w:r>
      <w:r w:rsidRPr="00351E64">
        <w:rPr>
          <w:rFonts w:ascii="Times New Roman" w:eastAsia="Times New Roman" w:hAnsi="Times New Roman" w:cs="Times New Roman"/>
          <w:sz w:val="24"/>
          <w:szCs w:val="24"/>
          <w:lang w:eastAsia="ru-RU"/>
        </w:rPr>
        <w:lastRenderedPageBreak/>
        <w:t>окончания "холодной войны" идеологам НАТО необходим был пересмотр подходов к уже установленному понятию коллективной обороны.</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ноябре 1998 года </w:t>
      </w:r>
      <w:proofErr w:type="gramStart"/>
      <w:r w:rsidRPr="00351E64">
        <w:rPr>
          <w:rFonts w:ascii="Times New Roman" w:eastAsia="Times New Roman" w:hAnsi="Times New Roman" w:cs="Times New Roman"/>
          <w:sz w:val="24"/>
          <w:szCs w:val="24"/>
          <w:lang w:eastAsia="ru-RU"/>
        </w:rPr>
        <w:t>Северо-атлантическая</w:t>
      </w:r>
      <w:proofErr w:type="gramEnd"/>
      <w:r w:rsidRPr="00351E64">
        <w:rPr>
          <w:rFonts w:ascii="Times New Roman" w:eastAsia="Times New Roman" w:hAnsi="Times New Roman" w:cs="Times New Roman"/>
          <w:sz w:val="24"/>
          <w:szCs w:val="24"/>
          <w:lang w:eastAsia="ru-RU"/>
        </w:rPr>
        <w:t xml:space="preserve"> ассамблея приняла резолюцию "о переосмыслении Евро-атлантической безопасности", о которой ряд виднейших юристов-международников, в частности, член Комиссии международного права ООН, профессор </w:t>
      </w:r>
      <w:proofErr w:type="spellStart"/>
      <w:r w:rsidRPr="00351E64">
        <w:rPr>
          <w:rFonts w:ascii="Times New Roman" w:eastAsia="Times New Roman" w:hAnsi="Times New Roman" w:cs="Times New Roman"/>
          <w:sz w:val="24"/>
          <w:szCs w:val="24"/>
          <w:lang w:eastAsia="ru-RU"/>
        </w:rPr>
        <w:t>Б.Симма</w:t>
      </w:r>
      <w:proofErr w:type="spellEnd"/>
      <w:r w:rsidRPr="00351E64">
        <w:rPr>
          <w:rFonts w:ascii="Times New Roman" w:eastAsia="Times New Roman" w:hAnsi="Times New Roman" w:cs="Times New Roman"/>
          <w:sz w:val="24"/>
          <w:szCs w:val="24"/>
          <w:lang w:eastAsia="ru-RU"/>
        </w:rPr>
        <w:t>, выразился, как о правовом абсурде, и призвала парламенты и правительства стран НАТО: "</w:t>
      </w:r>
    </w:p>
    <w:p w:rsidR="00351E64" w:rsidRPr="00351E64" w:rsidRDefault="00351E64" w:rsidP="009472C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d. стремиться к обеспечению наиболее широкой международной легитимности для миссий, не связанных со статьей 5, а также быть готовыми действовать, если Совет Безопасности ООН вдруг не сможет осуществлять свои цели по поддержанию международного мира и безопасности;</w:t>
      </w:r>
    </w:p>
    <w:p w:rsidR="00351E64" w:rsidRPr="00351E64" w:rsidRDefault="00351E64" w:rsidP="009472C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e. подтвердить, что неотъемлемое право на индивидуальную или коллективную самооборону, также закрепленное статьей 51 Устава ООН, должно включать оборону общих интересов и ценностей, в том числе в случаях, когда они поставлены под угрозу гуманитарной катастрофой, преступлениями против человечности и военными преступлениями"</w:t>
      </w:r>
      <w:hyperlink r:id="rId172" w:anchor="171" w:history="1">
        <w:proofErr w:type="gramStart"/>
        <w:r w:rsidRPr="00351E64">
          <w:rPr>
            <w:rFonts w:ascii="Times New Roman" w:eastAsia="Times New Roman" w:hAnsi="Times New Roman" w:cs="Times New Roman"/>
            <w:color w:val="0000FF"/>
            <w:sz w:val="24"/>
            <w:szCs w:val="24"/>
            <w:u w:val="single"/>
            <w:vertAlign w:val="superscript"/>
            <w:lang w:eastAsia="ru-RU"/>
          </w:rPr>
          <w:t>171</w:t>
        </w:r>
      </w:hyperlink>
      <w:r w:rsidRPr="00351E64">
        <w:rPr>
          <w:rFonts w:ascii="Times New Roman" w:eastAsia="Times New Roman" w:hAnsi="Times New Roman" w:cs="Times New Roman"/>
          <w:sz w:val="24"/>
          <w:szCs w:val="24"/>
          <w:lang w:eastAsia="ru-RU"/>
        </w:rPr>
        <w:t xml:space="preserve"> .</w:t>
      </w:r>
      <w:proofErr w:type="gramEnd"/>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Квалифицировать такое заявление можно как прямое покушение на исключительную компетенцию СБ, так как такое расширенное понимание коллективной обороны, предусматривающее не только защиту территории членов Альянса от вооруженного нападения, но и защиту их интересов в любой точке планеты, причем без </w:t>
      </w:r>
      <w:proofErr w:type="spellStart"/>
      <w:r w:rsidRPr="00351E64">
        <w:rPr>
          <w:rFonts w:ascii="Times New Roman" w:eastAsia="Times New Roman" w:hAnsi="Times New Roman" w:cs="Times New Roman"/>
          <w:sz w:val="24"/>
          <w:szCs w:val="24"/>
          <w:lang w:eastAsia="ru-RU"/>
        </w:rPr>
        <w:t>надлежайшего</w:t>
      </w:r>
      <w:proofErr w:type="spellEnd"/>
      <w:r w:rsidRPr="00351E64">
        <w:rPr>
          <w:rFonts w:ascii="Times New Roman" w:eastAsia="Times New Roman" w:hAnsi="Times New Roman" w:cs="Times New Roman"/>
          <w:sz w:val="24"/>
          <w:szCs w:val="24"/>
          <w:lang w:eastAsia="ru-RU"/>
        </w:rPr>
        <w:t xml:space="preserve"> участия СБ, - есть грубейшее нарушение основных положений гл. VII Устава ООН.</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Идеологи нового мирового порядка не остановились на достигнутом, и уже в новой стратегической концепции НАТО, принятой в 1999 г., конкретизировали, каким образом могут быть затронуты интересы государств - членов Альянса, для того чтобы прибегнуть к так называемой коллективной обороне.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соответствии со ст. 20 Стратегической концепции НАТО "…этнические и религиозные столкновения, территориальные споры, неадекватные или неудачные реформы, злоупотребление правами человека и распад государства могут вести к локальной и даже региональной нестабильности. Возникающее в результате напряжение может вести к кризисам, влияющим на Евроатлантическую стабильность, человеческим страданиям и вооруженным конфликтам. Такие конфликты могут влиять на безопасность Союза путем распространения на соседние страны, включая страны НАТО", а также в соответствии со ст. 24 "интересы безопасности Союза могут быть затронуты другими рисками более широкой природы, включая акты терроризма, саботажа и организованной преступности и прекращение потока жизненно важных ресурсов. Неконтролируемое перемещение больших количеств людей, особенно в результате вооруженных конфликтов, может также создавать проблемы безопасности и стабильности, затрагивающие Союз". И самое главное, для чего дана такая подробная расшифровка: "В случае кризиса, который угрожал бы Евро-Атлантической стабильности и влиял бы на безопасность членов Союза, для операций </w:t>
      </w:r>
      <w:r w:rsidRPr="00351E64">
        <w:rPr>
          <w:rFonts w:ascii="Times New Roman" w:eastAsia="Times New Roman" w:hAnsi="Times New Roman" w:cs="Times New Roman"/>
          <w:sz w:val="24"/>
          <w:szCs w:val="24"/>
          <w:lang w:eastAsia="ru-RU"/>
        </w:rPr>
        <w:lastRenderedPageBreak/>
        <w:t>кризисного реагирования могут быть использованы вооруженные силы Союза" (ст. 48). Таким образом, любое государство в любой части планеты может стать объектом применения военной машины НАТО.</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 xml:space="preserve">Что важно в аспекте пересмотра института коллективной обороны в рамках </w:t>
      </w:r>
      <w:proofErr w:type="gramStart"/>
      <w:r w:rsidRPr="00351E64">
        <w:rPr>
          <w:rFonts w:ascii="Times New Roman" w:eastAsia="Times New Roman" w:hAnsi="Times New Roman" w:cs="Times New Roman"/>
          <w:b/>
          <w:bCs/>
          <w:sz w:val="24"/>
          <w:szCs w:val="24"/>
          <w:lang w:eastAsia="ru-RU"/>
        </w:rPr>
        <w:t>НАТО это</w:t>
      </w:r>
      <w:proofErr w:type="gramEnd"/>
      <w:r w:rsidRPr="00351E64">
        <w:rPr>
          <w:rFonts w:ascii="Times New Roman" w:eastAsia="Times New Roman" w:hAnsi="Times New Roman" w:cs="Times New Roman"/>
          <w:b/>
          <w:bCs/>
          <w:sz w:val="24"/>
          <w:szCs w:val="24"/>
          <w:lang w:eastAsia="ru-RU"/>
        </w:rPr>
        <w:t xml:space="preserve"> то, что это далеко не теоретическая коллизия новой стратегической концепции, она уже сегодня имеет совершено реальные примеры. Одним из наиболее ярких примеров является кризис в Югославии весной 1999 г. Еще в начале военной операции в Косово госсекретарь США Мадлен Олбрайт заявила: "Это есть тест НАТО для XXI века"</w:t>
      </w:r>
      <w:hyperlink r:id="rId173" w:anchor="172" w:history="1">
        <w:proofErr w:type="gramStart"/>
        <w:r w:rsidRPr="00351E64">
          <w:rPr>
            <w:rFonts w:ascii="Times New Roman" w:eastAsia="Times New Roman" w:hAnsi="Times New Roman" w:cs="Times New Roman"/>
            <w:b/>
            <w:bCs/>
            <w:color w:val="0000FF"/>
            <w:sz w:val="24"/>
            <w:szCs w:val="24"/>
            <w:u w:val="single"/>
            <w:vertAlign w:val="superscript"/>
            <w:lang w:eastAsia="ru-RU"/>
          </w:rPr>
          <w:t>172</w:t>
        </w:r>
      </w:hyperlink>
      <w:r w:rsidRPr="00351E64">
        <w:rPr>
          <w:rFonts w:ascii="Times New Roman" w:eastAsia="Times New Roman" w:hAnsi="Times New Roman" w:cs="Times New Roman"/>
          <w:b/>
          <w:bCs/>
          <w:sz w:val="24"/>
          <w:szCs w:val="24"/>
          <w:lang w:eastAsia="ru-RU"/>
        </w:rPr>
        <w:t xml:space="preserve"> .</w:t>
      </w:r>
      <w:proofErr w:type="gramEnd"/>
      <w:r w:rsidRPr="00351E64">
        <w:rPr>
          <w:rFonts w:ascii="Times New Roman" w:eastAsia="Times New Roman" w:hAnsi="Times New Roman" w:cs="Times New Roman"/>
          <w:b/>
          <w:bCs/>
          <w:sz w:val="24"/>
          <w:szCs w:val="24"/>
          <w:lang w:eastAsia="ru-RU"/>
        </w:rPr>
        <w:t xml:space="preserve"> Именно там была окончательно опробована модель военного реагирования на кризисную ситуацию, угрожающую интересам государств - членов Альянса, именно эта операция была наиболее ярким прецедентом, созданным на основе предыдущего опыта подобных операций под руководством США в Гренаде, Панаме, Сомали, Ираке и др</w:t>
      </w:r>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Подтверждение того, что агрессия НАТО в Косово является воплощением именно нового взгляда на коллективную оборону, можно получить в целом ряде заявлений руководителей стран - членов Альянса. Так, 11 июня 1998 года Вильям Коэн, министр обороны Соединенных Штатов, во время пресс-конференции в Брюсселе, отвечая на вопрос о возможности принудительных действий военного характера в отношении Югославии, заявил, что </w:t>
      </w:r>
      <w:r w:rsidRPr="00351E64">
        <w:rPr>
          <w:rFonts w:ascii="Times New Roman" w:eastAsia="Times New Roman" w:hAnsi="Times New Roman" w:cs="Times New Roman"/>
          <w:i/>
          <w:iCs/>
          <w:sz w:val="24"/>
          <w:szCs w:val="24"/>
          <w:lang w:eastAsia="ru-RU"/>
        </w:rPr>
        <w:t>"Соединенные Штаты не чувствуют, что это (легитимация действий Альянса со стороны СБ) обязательно - это желательно, но не обязательно. Мы полагаем, что в соответствии с Уставом ООН как таковым нации имеют право прибегать к самообороне и даже коллективной самообороне…"</w:t>
      </w:r>
      <w:r w:rsidRPr="00351E64">
        <w:rPr>
          <w:rFonts w:ascii="Times New Roman" w:eastAsia="Times New Roman" w:hAnsi="Times New Roman" w:cs="Times New Roman"/>
          <w:sz w:val="24"/>
          <w:szCs w:val="24"/>
          <w:lang w:eastAsia="ru-RU"/>
        </w:rPr>
        <w:t>. Последовал вопрос:</w:t>
      </w:r>
      <w:r w:rsidRPr="00351E64">
        <w:rPr>
          <w:rFonts w:ascii="Times New Roman" w:eastAsia="Times New Roman" w:hAnsi="Times New Roman" w:cs="Times New Roman"/>
          <w:i/>
          <w:iCs/>
          <w:sz w:val="24"/>
          <w:szCs w:val="24"/>
          <w:lang w:eastAsia="ru-RU"/>
        </w:rPr>
        <w:t xml:space="preserve"> "Вы считаете, что действия без мандата ООН были бы возможными, даже если это не будет, строго говоря, самооборона?"</w:t>
      </w:r>
      <w:r w:rsidRPr="00351E64">
        <w:rPr>
          <w:rFonts w:ascii="Times New Roman" w:eastAsia="Times New Roman" w:hAnsi="Times New Roman" w:cs="Times New Roman"/>
          <w:sz w:val="24"/>
          <w:szCs w:val="24"/>
          <w:lang w:eastAsia="ru-RU"/>
        </w:rPr>
        <w:t>. На что Вильям Коэн с уверенностью ответил: "</w:t>
      </w:r>
      <w:r w:rsidRPr="00351E64">
        <w:rPr>
          <w:rFonts w:ascii="Times New Roman" w:eastAsia="Times New Roman" w:hAnsi="Times New Roman" w:cs="Times New Roman"/>
          <w:i/>
          <w:iCs/>
          <w:sz w:val="24"/>
          <w:szCs w:val="24"/>
          <w:lang w:eastAsia="ru-RU"/>
        </w:rPr>
        <w:t>Тем не менее это может быть, строго говоря, коллективной обороной в смысле нестабильности, которая может возникнуть при продолжении ситуации. И давайте на этом остановимся"</w:t>
      </w:r>
      <w:hyperlink r:id="rId174" w:anchor="173" w:history="1">
        <w:r w:rsidRPr="00351E64">
          <w:rPr>
            <w:rFonts w:ascii="Times New Roman" w:eastAsia="Times New Roman" w:hAnsi="Times New Roman" w:cs="Times New Roman"/>
            <w:i/>
            <w:iCs/>
            <w:color w:val="0000FF"/>
            <w:sz w:val="24"/>
            <w:szCs w:val="24"/>
            <w:u w:val="single"/>
            <w:vertAlign w:val="superscript"/>
            <w:lang w:eastAsia="ru-RU"/>
          </w:rPr>
          <w:t>173</w:t>
        </w:r>
      </w:hyperlink>
      <w:r w:rsidRPr="00351E64">
        <w:rPr>
          <w:rFonts w:ascii="Times New Roman" w:eastAsia="Times New Roman" w:hAnsi="Times New Roman" w:cs="Times New Roman"/>
          <w:sz w:val="24"/>
          <w:szCs w:val="24"/>
          <w:lang w:eastAsia="ru-RU"/>
        </w:rPr>
        <w:t>. Робин Кук, в свою очередь, также заявил: "</w:t>
      </w:r>
      <w:r w:rsidRPr="00351E64">
        <w:rPr>
          <w:rFonts w:ascii="Times New Roman" w:eastAsia="Times New Roman" w:hAnsi="Times New Roman" w:cs="Times New Roman"/>
          <w:i/>
          <w:iCs/>
          <w:sz w:val="24"/>
          <w:szCs w:val="24"/>
          <w:lang w:eastAsia="ru-RU"/>
        </w:rPr>
        <w:t>Нигде в мире не будет для нас настолько далеко, чтобы мы не могли там обеспечить свои стратегические интересы"</w:t>
      </w:r>
      <w:hyperlink r:id="rId175" w:anchor="174" w:history="1">
        <w:proofErr w:type="gramStart"/>
        <w:r w:rsidRPr="00351E64">
          <w:rPr>
            <w:rFonts w:ascii="Times New Roman" w:eastAsia="Times New Roman" w:hAnsi="Times New Roman" w:cs="Times New Roman"/>
            <w:i/>
            <w:iCs/>
            <w:color w:val="0000FF"/>
            <w:sz w:val="24"/>
            <w:szCs w:val="24"/>
            <w:u w:val="single"/>
            <w:vertAlign w:val="superscript"/>
            <w:lang w:eastAsia="ru-RU"/>
          </w:rPr>
          <w:t>174</w:t>
        </w:r>
      </w:hyperlink>
      <w:r w:rsidRPr="00351E64">
        <w:rPr>
          <w:rFonts w:ascii="Times New Roman" w:eastAsia="Times New Roman" w:hAnsi="Times New Roman" w:cs="Times New Roman"/>
          <w:sz w:val="24"/>
          <w:szCs w:val="24"/>
          <w:lang w:eastAsia="ru-RU"/>
        </w:rPr>
        <w:t xml:space="preserve"> .</w:t>
      </w:r>
      <w:proofErr w:type="gramEnd"/>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Еще одним "правовым прикрытием" агрессивной политики НАТО явилась идея использования для новых операций Альянса, в том числе в рамках Косовского кризиса, термина "гуманитарная интервенция" и это есть еще одна ключевая концепция, на которой базируется будущее НАТО в сфере поддержания международного мира и безопасности с позиции ее современной идеологии. Однако то, как реализовывается так называемая гуманитарная интервенция" и какой в действительности смысл вкладывается в это понятие в соответствии с международным правом, еще раз подчеркивает явную противоправность основных положений новой стратегической концепцией Альянса.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С правовой точки зрения вопрос о правомерности "гуманитарной интервенции" лежит в сфере общего вопроса о допустимости военного вмешательства во внутренние дела суверенного государства. Современное международное право содержит лишь одно исключение из принципа недопустимости такого вмешательств: в случае, если это </w:t>
      </w:r>
      <w:r w:rsidRPr="00351E64">
        <w:rPr>
          <w:rFonts w:ascii="Times New Roman" w:eastAsia="Times New Roman" w:hAnsi="Times New Roman" w:cs="Times New Roman"/>
          <w:sz w:val="24"/>
          <w:szCs w:val="24"/>
          <w:lang w:eastAsia="ru-RU"/>
        </w:rPr>
        <w:lastRenderedPageBreak/>
        <w:t xml:space="preserve">вмешательство осуществляется в целях предотвращения угрозы миру, нарушения мира и актов агрессии, причем только под руководством СБ и при наличии соответствующего решения СБ в соответствии с главой VII Устава ООН. Никакие ссылки на наличие гуманитарной катастрофы, преступлений против человечества, этнических конфликтов не могут быть признаны допустимыми для обоснования самостоятельного (государством или их коалицией) вмешательства во внутренние дела суверенного государства. Большинством государств-членов ООН поддерживались миротворческие инициативы стран Альянса по предотвращению гуманитарной катастрофы в Косово, </w:t>
      </w:r>
      <w:proofErr w:type="gramStart"/>
      <w:r w:rsidRPr="00351E64">
        <w:rPr>
          <w:rFonts w:ascii="Times New Roman" w:eastAsia="Times New Roman" w:hAnsi="Times New Roman" w:cs="Times New Roman"/>
          <w:sz w:val="24"/>
          <w:szCs w:val="24"/>
          <w:lang w:eastAsia="ru-RU"/>
        </w:rPr>
        <w:t>однако</w:t>
      </w:r>
      <w:proofErr w:type="gramEnd"/>
      <w:r w:rsidRPr="00351E64">
        <w:rPr>
          <w:rFonts w:ascii="Times New Roman" w:eastAsia="Times New Roman" w:hAnsi="Times New Roman" w:cs="Times New Roman"/>
          <w:sz w:val="24"/>
          <w:szCs w:val="24"/>
          <w:lang w:eastAsia="ru-RU"/>
        </w:rPr>
        <w:t xml:space="preserve"> когда такие инициативы переросли в прямую агрессию против суверенного государства, многие страны мира, в первую очередь ПЧ СБ, не входящие в Альянс, высказались резко против таких действий. На 54-й сессии Генеральной Ассамблеи ООН в сентябре 1999 г. министр иностранных дел КНР </w:t>
      </w:r>
      <w:proofErr w:type="spellStart"/>
      <w:r w:rsidRPr="00351E64">
        <w:rPr>
          <w:rFonts w:ascii="Times New Roman" w:eastAsia="Times New Roman" w:hAnsi="Times New Roman" w:cs="Times New Roman"/>
          <w:sz w:val="24"/>
          <w:szCs w:val="24"/>
          <w:lang w:eastAsia="ru-RU"/>
        </w:rPr>
        <w:t>Тан</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Цзясуюн</w:t>
      </w:r>
      <w:proofErr w:type="spellEnd"/>
      <w:r w:rsidRPr="00351E64">
        <w:rPr>
          <w:rFonts w:ascii="Times New Roman" w:eastAsia="Times New Roman" w:hAnsi="Times New Roman" w:cs="Times New Roman"/>
          <w:sz w:val="24"/>
          <w:szCs w:val="24"/>
          <w:lang w:eastAsia="ru-RU"/>
        </w:rPr>
        <w:t xml:space="preserve"> заявил: "Региональная военная организация во имя гуманизма и человеческих прав, обойдя объединенные нации и совершив военную операцию против суверенного государства, создала опасный прецедент в мировом праве".</w:t>
      </w:r>
      <w:hyperlink r:id="rId176" w:anchor="175" w:history="1">
        <w:r w:rsidRPr="00351E64">
          <w:rPr>
            <w:rFonts w:ascii="Times New Roman" w:eastAsia="Times New Roman" w:hAnsi="Times New Roman" w:cs="Times New Roman"/>
            <w:color w:val="0000FF"/>
            <w:sz w:val="24"/>
            <w:szCs w:val="24"/>
            <w:u w:val="single"/>
            <w:vertAlign w:val="superscript"/>
            <w:lang w:eastAsia="ru-RU"/>
          </w:rPr>
          <w:t>175</w:t>
        </w:r>
      </w:hyperlink>
      <w:r w:rsidRPr="00351E64">
        <w:rPr>
          <w:rFonts w:ascii="Times New Roman" w:eastAsia="Times New Roman" w:hAnsi="Times New Roman" w:cs="Times New Roman"/>
          <w:sz w:val="24"/>
          <w:szCs w:val="24"/>
          <w:lang w:eastAsia="ru-RU"/>
        </w:rPr>
        <w:t xml:space="preserve"> Еще в 1974 г. 138 государствами, входившими в ООН, на основе консенсуса было принято Определение агрессии, в ст. 5 которого прямо указывается, что никакие соображения любого характера, будь то политического, экономического, военного или иного, не могут служить оправданием агрессии. Таким образом, так называемая гуманитарная интервенция, в той форме, в которой она реализуется в современной деятельности НАТО, помимо прямого покушения на компетенцию СБ ООН, является </w:t>
      </w:r>
      <w:proofErr w:type="gramStart"/>
      <w:r w:rsidRPr="00351E64">
        <w:rPr>
          <w:rFonts w:ascii="Times New Roman" w:eastAsia="Times New Roman" w:hAnsi="Times New Roman" w:cs="Times New Roman"/>
          <w:sz w:val="24"/>
          <w:szCs w:val="24"/>
          <w:lang w:eastAsia="ru-RU"/>
        </w:rPr>
        <w:t>ни чем</w:t>
      </w:r>
      <w:proofErr w:type="gramEnd"/>
      <w:r w:rsidRPr="00351E64">
        <w:rPr>
          <w:rFonts w:ascii="Times New Roman" w:eastAsia="Times New Roman" w:hAnsi="Times New Roman" w:cs="Times New Roman"/>
          <w:sz w:val="24"/>
          <w:szCs w:val="24"/>
          <w:lang w:eastAsia="ru-RU"/>
        </w:rPr>
        <w:t xml:space="preserve"> иным, как актом агрессии, квалифицируемым в соответствии с международным правом как международное преступление, влекущее за собой международную ответственность.</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Рассмотренные выше концепции расширенного толкования Альянсом института коллективной обороны и введения понятия "гуманитарная интервенция" для оправдания актов агрессии в первую очередь имеют своей целью поставить Организацию Североатлантического договора вне сферы влияния и контроля Совета Безопасности. Этой же цели служит то обстоятельство, что с принятием новой концепции ее идеологами указывается, что НАТО не является региональной организацией в смысле главы VIII Устава ООН. И НАТО не случайно не признает себя в качестве региональной организации, так как в соответствии со ст. 53 Устава ООН "Совет Безопасности использует, где это уместно, такие региональные соглашения или органы для принудительных действий под его руководством. Однако никакие принудительные действия не предпринимаются в силу этих региональных соглашений или региональными органами без полномочий от Совета Безопасности…", а также в соответствии со ст. 54 "Совет Безопасности должен быть всегда и полностью информирован о действиях, предпринятых или намечаемых в силу региональных соглашений или региональными органами для поддержания международного мира и безопасности". Такие положения Устава ООН неслучайны. Именно жесткий контроль и информированность СБ о действиях региональных организаций обеспечивают соблюдение принципов международного права и способствуют ведению единой политики в сфере поддержания международного мира и безопасности в условиях все большей регионализации международных конфликтов. Признание себя региональной организацией явилось бы признанием невозможности самостоятельных действий Альянса в сфере поддержания международного мира и безопасности без необходимого участия СБ, а это шло бы вразрез с новым стратегическим курсом этой организации. Для квалификации любой международной организации в качестве региональной необходимо лишь то, чтобы членами ее являлись государства определенного географического региона, а объектом деятельности - вопросы регионального сотрудничества. НАТО в полном объеме соответствует этим критериям, поэтому, несомненно, является региональной организаций и должна следовать положениям Устава </w:t>
      </w:r>
      <w:r w:rsidRPr="00351E64">
        <w:rPr>
          <w:rFonts w:ascii="Times New Roman" w:eastAsia="Times New Roman" w:hAnsi="Times New Roman" w:cs="Times New Roman"/>
          <w:sz w:val="24"/>
          <w:szCs w:val="24"/>
          <w:lang w:eastAsia="ru-RU"/>
        </w:rPr>
        <w:lastRenderedPageBreak/>
        <w:t>ООН, регламентирующих соотнесение их компетенции с компетенцией СБ в сфере поддержания международного мира и безопасности. В этой проблеме есть еще и другая сторона: в соответствии с Уставом ООН СБ при осуществлении своих полномочий в сфере поддержания международного мира и безопасности имеет право прибегать только к помощи региональных соглашений и органов, поэтому в случае если НАТО не признает себя региональной организаций, она и не вправе участвовать в какой-либо деятельности, связанной с реализаций решений СБ, чем она в настоящее время активно занимается. В частности, в резолюции СБ 1031 (1996 г.) относительно реализации Дейтонских соглашений НАТО была прямо определена как региональная организации. Бутрос Гали в своем ежегодном докладе в 1996 г., говоря о Югославском урегулировании и выполнении санкций СБ на этой территории, заявил, что "важным элементом, способствовавшим успеху режима санкций, явилось тесное сотрудничество соответствующих региональных организаций и их вклад в наблюдение за его действием и обеспечение его соблюдения"</w:t>
      </w:r>
      <w:hyperlink r:id="rId177" w:anchor="176" w:history="1">
        <w:r w:rsidRPr="00351E64">
          <w:rPr>
            <w:rFonts w:ascii="Times New Roman" w:eastAsia="Times New Roman" w:hAnsi="Times New Roman" w:cs="Times New Roman"/>
            <w:color w:val="0000FF"/>
            <w:sz w:val="24"/>
            <w:szCs w:val="24"/>
            <w:u w:val="single"/>
            <w:vertAlign w:val="superscript"/>
            <w:lang w:eastAsia="ru-RU"/>
          </w:rPr>
          <w:t>176</w:t>
        </w:r>
      </w:hyperlink>
      <w:r w:rsidRPr="00351E64">
        <w:rPr>
          <w:rFonts w:ascii="Times New Roman" w:eastAsia="Times New Roman" w:hAnsi="Times New Roman" w:cs="Times New Roman"/>
          <w:sz w:val="24"/>
          <w:szCs w:val="24"/>
          <w:lang w:eastAsia="ru-RU"/>
        </w:rPr>
        <w:t>. Таким образом, только признанием себя в качестве региональной организации была, по сути, обоснована роль НАТО в мирном урегулировании Боснийского конфликта. Поскольку в настоящее время НАТО не признает себя региональной организацией - подобные поручения ей от СБ являются неправомерными, так как противоречат смыслу гл. VIII Устава ООН.</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Из рассмотренных положений видно, что основной сегодняшней задачей НАТО является создание условий удобной и необходимой правовой основы для самостоятельной деятельности в сфере поддержания международного мира и безопасности. Помимо положений новой стратегической концепции, о реализации такой задачи также свидетельствует целый ряд заявлений ответственных должностных лиц стран Альянса. Еще до начала бомбардировок Югославии в октябре 1998 года пресс-секретарь министерства обороны США </w:t>
      </w:r>
      <w:proofErr w:type="spellStart"/>
      <w:r w:rsidRPr="00351E64">
        <w:rPr>
          <w:rFonts w:ascii="Times New Roman" w:eastAsia="Times New Roman" w:hAnsi="Times New Roman" w:cs="Times New Roman"/>
          <w:sz w:val="24"/>
          <w:szCs w:val="24"/>
          <w:lang w:eastAsia="ru-RU"/>
        </w:rPr>
        <w:t>Кенет</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Бейкон</w:t>
      </w:r>
      <w:proofErr w:type="spellEnd"/>
      <w:r w:rsidRPr="00351E64">
        <w:rPr>
          <w:rFonts w:ascii="Times New Roman" w:eastAsia="Times New Roman" w:hAnsi="Times New Roman" w:cs="Times New Roman"/>
          <w:sz w:val="24"/>
          <w:szCs w:val="24"/>
          <w:lang w:eastAsia="ru-RU"/>
        </w:rPr>
        <w:t xml:space="preserve"> с уверенностью заявлял: "</w:t>
      </w:r>
      <w:r w:rsidRPr="00351E64">
        <w:rPr>
          <w:rFonts w:ascii="Times New Roman" w:eastAsia="Times New Roman" w:hAnsi="Times New Roman" w:cs="Times New Roman"/>
          <w:i/>
          <w:iCs/>
          <w:sz w:val="24"/>
          <w:szCs w:val="24"/>
          <w:lang w:eastAsia="ru-RU"/>
        </w:rPr>
        <w:t>Взгляды США всегда состояли в том, что НАТО имеет право действовать самостоятельно, - право и обязанность действовать самостоятельно в вопросах Европейской безопасности</w:t>
      </w:r>
      <w:r w:rsidRPr="00351E64">
        <w:rPr>
          <w:rFonts w:ascii="Times New Roman" w:eastAsia="Times New Roman" w:hAnsi="Times New Roman" w:cs="Times New Roman"/>
          <w:sz w:val="24"/>
          <w:szCs w:val="24"/>
          <w:lang w:eastAsia="ru-RU"/>
        </w:rPr>
        <w:t>"</w:t>
      </w:r>
      <w:hyperlink r:id="rId178" w:anchor="177" w:history="1">
        <w:proofErr w:type="gramStart"/>
        <w:r w:rsidRPr="00351E64">
          <w:rPr>
            <w:rFonts w:ascii="Times New Roman" w:eastAsia="Times New Roman" w:hAnsi="Times New Roman" w:cs="Times New Roman"/>
            <w:color w:val="0000FF"/>
            <w:sz w:val="24"/>
            <w:szCs w:val="24"/>
            <w:u w:val="single"/>
            <w:vertAlign w:val="superscript"/>
            <w:lang w:eastAsia="ru-RU"/>
          </w:rPr>
          <w:t>177</w:t>
        </w:r>
      </w:hyperlink>
      <w:r w:rsidRPr="00351E64">
        <w:rPr>
          <w:rFonts w:ascii="Times New Roman" w:eastAsia="Times New Roman" w:hAnsi="Times New Roman" w:cs="Times New Roman"/>
          <w:sz w:val="24"/>
          <w:szCs w:val="24"/>
          <w:lang w:eastAsia="ru-RU"/>
        </w:rPr>
        <w:t xml:space="preserve"> .</w:t>
      </w:r>
      <w:proofErr w:type="gramEnd"/>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Причиной такой направленности современной политики Альянса служит в первую очередь факт окончания "холодной войны", расформирование, противостоящего НАТО, социалистического блока, распад Советского Союза. Все задачи, которые стояли перед Альянсом во время "холодной войны", выполнены - необходимо двигаться дальше. Следующей целью выбрано глобальное регулирование как в Евроатлантическом регионе, так и во всем мире. Однако архитектура европейской и международной безопасности в правовом плане не претерпела тех изменений, которые произошли в военно-политической и в какой-то степени идеологической сфере. Основой существующего сегодня мирового правопорядка являются Ялтинские договоренности, выраженные в положениях Устава Организации Объединенных наций, основными из которых являются: принцип единогласия ПЧ, их несменный персональный состав, исключительность полномочий СБ в вопросах поддержания мира и безопасности и ряд других. Именно эти правовые установления сегодня являются основной преградой НАТО в рамках реализации ею своей новой стратегической задачи. Так, многими аналитиками уже после первых бомбовых ударов НАТО в Ираке отмечалось, что "после окончания холодной войны США явно стали тяготиться "анархизмом ялтинского мира" - Советом Безопасности ООН, в котором страны- победительницы во второй мировой войне обладают равными правами. В США вначале вполголоса, а затем открыто стали говорить о том, что СБ ООН не отражает реалии современного мира. И ситуация, когда Россия или Китай могут наложить вето на любое </w:t>
      </w:r>
      <w:r w:rsidRPr="00351E64">
        <w:rPr>
          <w:rFonts w:ascii="Times New Roman" w:eastAsia="Times New Roman" w:hAnsi="Times New Roman" w:cs="Times New Roman"/>
          <w:sz w:val="24"/>
          <w:szCs w:val="24"/>
          <w:lang w:eastAsia="ru-RU"/>
        </w:rPr>
        <w:lastRenderedPageBreak/>
        <w:t>выгодное американцам решение, далее неприемлема"</w:t>
      </w:r>
      <w:hyperlink r:id="rId179" w:anchor="178" w:history="1">
        <w:r w:rsidRPr="00351E64">
          <w:rPr>
            <w:rFonts w:ascii="Times New Roman" w:eastAsia="Times New Roman" w:hAnsi="Times New Roman" w:cs="Times New Roman"/>
            <w:color w:val="0000FF"/>
            <w:sz w:val="24"/>
            <w:szCs w:val="24"/>
            <w:u w:val="single"/>
            <w:vertAlign w:val="superscript"/>
            <w:lang w:eastAsia="ru-RU"/>
          </w:rPr>
          <w:t>178</w:t>
        </w:r>
      </w:hyperlink>
      <w:r w:rsidRPr="00351E64">
        <w:rPr>
          <w:rFonts w:ascii="Times New Roman" w:eastAsia="Times New Roman" w:hAnsi="Times New Roman" w:cs="Times New Roman"/>
          <w:sz w:val="24"/>
          <w:szCs w:val="24"/>
          <w:lang w:eastAsia="ru-RU"/>
        </w:rPr>
        <w:t>. Альянсом взят курс на то, чтобы вопросы международной безопасности решал другой круг вовлеченных государств, чтобы постоянным членам СБ на смену пришли постоянные члены Североатлантического Совета.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Исключительно важно также и то, что на сегодня не только НАТО своей деятельностью в сфере поддержания мира и безопасности пытается подменять СБ, переосмыслить основы взаимодействия между региональными организациями и СБ, закрепленные Уставом ООН. На этот путь намеривается выйти и Европейский Союз. 8 декабря 2000 г. на совещании в Ницце страны Евросоюза подписали соглашение, по которому через несколько лет в ЕС должны быть созданы объединенные европейские силы быстрого реагирования. В группировку войдут 50-60 тысяч солдат, 300 боевых самолетов и 80 военных кораблей. Примечательно то, что принятие такого решения мировой общественностью было принято с озабоченностью в том, что создание таких новых сил идет вразрез с существованием НАТО и ролью этой организации на Европейском континенте. Относительно же исключительной компетенции СБ, а не НАТО или ЕС при проведении ОПМ, как во всем мире, так и в Европе, не было заявлено ни в одном из аналитических заявлений.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Министр иностранных дел России Игорь Иванов на 54-й сессии Генеральной Ассамблей ООН заявил: "С учетом ограниченности ресурсов всемирной организации в условиях высокого спроса на операции по поддержанию мира приоритетной отраслью становится взаимодействие и разделение труда с региональными структурами. Такое сотрудничество - и это принципиальный момент - должно выстраиваться в строгом соответствии и при полном соблюдении прерогатив Совета Безопасности".</w:t>
      </w:r>
      <w:hyperlink r:id="rId180" w:anchor="127" w:history="1">
        <w:r w:rsidRPr="00351E64">
          <w:rPr>
            <w:rFonts w:ascii="Times New Roman" w:eastAsia="Times New Roman" w:hAnsi="Times New Roman" w:cs="Times New Roman"/>
            <w:color w:val="0000FF"/>
            <w:sz w:val="24"/>
            <w:szCs w:val="24"/>
            <w:u w:val="single"/>
            <w:vertAlign w:val="superscript"/>
            <w:lang w:eastAsia="ru-RU"/>
          </w:rPr>
          <w:t>179</w:t>
        </w:r>
      </w:hyperlink>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действительности проблематика осуществления мероприятий по поддержанию мира и безопасности на региональном уровне заключается как в целом в развитии этого института, так и в строгом следовании положениям Устава ООН. Рассмотренные выше современные прецеденты осуществления "миротворческой" политики на региональном уровне без должного участия СБ недопустимы. </w:t>
      </w:r>
      <w:proofErr w:type="gramStart"/>
      <w:r w:rsidRPr="00351E64">
        <w:rPr>
          <w:rFonts w:ascii="Times New Roman" w:eastAsia="Times New Roman" w:hAnsi="Times New Roman" w:cs="Times New Roman"/>
          <w:sz w:val="24"/>
          <w:szCs w:val="24"/>
          <w:lang w:eastAsia="ru-RU"/>
        </w:rPr>
        <w:t>Как ни странно</w:t>
      </w:r>
      <w:proofErr w:type="gramEnd"/>
      <w:r w:rsidRPr="00351E64">
        <w:rPr>
          <w:rFonts w:ascii="Times New Roman" w:eastAsia="Times New Roman" w:hAnsi="Times New Roman" w:cs="Times New Roman"/>
          <w:sz w:val="24"/>
          <w:szCs w:val="24"/>
          <w:lang w:eastAsia="ru-RU"/>
        </w:rPr>
        <w:t xml:space="preserve"> существование проблем взаимодействия между СБ и региональными организациями является в том числе и следствием недостаточной правовой регламентации в этой сфере. Несомненно, в этом направлении ведется нормотворческая деятельность. 9 декабря 1994 г. </w:t>
      </w:r>
      <w:proofErr w:type="gramStart"/>
      <w:r w:rsidRPr="00351E64">
        <w:rPr>
          <w:rFonts w:ascii="Times New Roman" w:eastAsia="Times New Roman" w:hAnsi="Times New Roman" w:cs="Times New Roman"/>
          <w:sz w:val="24"/>
          <w:szCs w:val="24"/>
          <w:lang w:eastAsia="ru-RU"/>
        </w:rPr>
        <w:t>на Генеральной Ассамблеи</w:t>
      </w:r>
      <w:proofErr w:type="gramEnd"/>
      <w:r w:rsidRPr="00351E64">
        <w:rPr>
          <w:rFonts w:ascii="Times New Roman" w:eastAsia="Times New Roman" w:hAnsi="Times New Roman" w:cs="Times New Roman"/>
          <w:sz w:val="24"/>
          <w:szCs w:val="24"/>
          <w:lang w:eastAsia="ru-RU"/>
        </w:rPr>
        <w:t xml:space="preserve"> была принята Декларация о совершенствовании сотрудничества между ООН и региональными соглашениями или организациями в области поддержания международного мира и безопасности, в которой предусматривались, в частности, обмен информацией, консультации, поддержка со стороны ООН региональных усилий по поддержанию мира. Однако до сих пор нет четкого определения границ участия региональных организаций в миротворческих действиях ответов на вопросы, могут ли участвовать региональные организации в операциях по принуждению к миру, в том числе с использованием вооруженных сил, какие именно региональные структуры могут быть использованы СБ на основании гл. VII Устава ООН в различных регионах, и т.д. Все эти вопросы должны не </w:t>
      </w:r>
      <w:proofErr w:type="spellStart"/>
      <w:r w:rsidRPr="00351E64">
        <w:rPr>
          <w:rFonts w:ascii="Times New Roman" w:eastAsia="Times New Roman" w:hAnsi="Times New Roman" w:cs="Times New Roman"/>
          <w:sz w:val="24"/>
          <w:szCs w:val="24"/>
          <w:lang w:eastAsia="ru-RU"/>
        </w:rPr>
        <w:t>сомненно</w:t>
      </w:r>
      <w:proofErr w:type="spellEnd"/>
      <w:r w:rsidRPr="00351E64">
        <w:rPr>
          <w:rFonts w:ascii="Times New Roman" w:eastAsia="Times New Roman" w:hAnsi="Times New Roman" w:cs="Times New Roman"/>
          <w:sz w:val="24"/>
          <w:szCs w:val="24"/>
          <w:lang w:eastAsia="ru-RU"/>
        </w:rPr>
        <w:t xml:space="preserve"> иметь однозначный ответ в соответствии с международным правом. </w:t>
      </w:r>
      <w:proofErr w:type="gramStart"/>
      <w:r w:rsidRPr="00351E64">
        <w:rPr>
          <w:rFonts w:ascii="Times New Roman" w:eastAsia="Times New Roman" w:hAnsi="Times New Roman" w:cs="Times New Roman"/>
          <w:sz w:val="24"/>
          <w:szCs w:val="24"/>
          <w:lang w:eastAsia="ru-RU"/>
        </w:rPr>
        <w:t>В частности</w:t>
      </w:r>
      <w:proofErr w:type="gramEnd"/>
      <w:r w:rsidRPr="00351E64">
        <w:rPr>
          <w:rFonts w:ascii="Times New Roman" w:eastAsia="Times New Roman" w:hAnsi="Times New Roman" w:cs="Times New Roman"/>
          <w:sz w:val="24"/>
          <w:szCs w:val="24"/>
          <w:lang w:eastAsia="ru-RU"/>
        </w:rPr>
        <w:t xml:space="preserve"> использование организаций сугубо военного характера (например, НАТО) не может быть допустимым, так как в соответствии со смыслом гл. VII, в частности, в соответствии с п. 2 ст. 52, помощь региональных организаций должна заключаться исключительно в рамках мирного разрешения международных споров. Положения п. 1. ст. 53 относительно </w:t>
      </w:r>
      <w:r w:rsidRPr="00351E64">
        <w:rPr>
          <w:rFonts w:ascii="Times New Roman" w:eastAsia="Times New Roman" w:hAnsi="Times New Roman" w:cs="Times New Roman"/>
          <w:sz w:val="24"/>
          <w:szCs w:val="24"/>
          <w:lang w:eastAsia="ru-RU"/>
        </w:rPr>
        <w:lastRenderedPageBreak/>
        <w:t>использования региональных соглашений и органов для принудительных действий также несомненно касаются только репрессалий мирного характера, так как в противном случае это бы противоречило главе VI Устава, где за членами организации закреплена лишь обязанность предоставить СБ необходимые военные контингенты - управление же этими контингентами должно осуществляться сугубо и непосредственно СБ совместно с ВШК, а не самими этими государствами и тем более их организациями.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Таким образом, на основании положений Устава ООН можно сделать заключение о недопустимости участия региональных организаций в операциях по принуждению к миру и необходимости исключения сугубо военных региональных организаций из состава допустимых к участию в деятельности по поддержанию международного мира и безопасности. Более того в дальнейшем, вероятно, должен быть определен четкий перечень организаций, привлечение которых к миротворческому процессу возможно и в каком именно регионе. Было бы целесообразнее и гораздо эффективнее, если бы эти функции были закреплены лишь за одной организацией в каждом определенном регионе, причем такая организация должна получить подтверждение от стран этого региона на осуществление подобных операций только в этом регионе. Так, в Европе партнером ООН в миротворчестве, несомненно, должна стать исключительно ОБСЕ</w:t>
      </w:r>
      <w:hyperlink r:id="rId181" w:anchor="180" w:history="1">
        <w:r w:rsidRPr="00351E64">
          <w:rPr>
            <w:rFonts w:ascii="Times New Roman" w:eastAsia="Times New Roman" w:hAnsi="Times New Roman" w:cs="Times New Roman"/>
            <w:color w:val="0000FF"/>
            <w:sz w:val="24"/>
            <w:szCs w:val="24"/>
            <w:u w:val="single"/>
            <w:vertAlign w:val="superscript"/>
            <w:lang w:eastAsia="ru-RU"/>
          </w:rPr>
          <w:t>180</w:t>
        </w:r>
      </w:hyperlink>
      <w:r w:rsidRPr="00351E64">
        <w:rPr>
          <w:rFonts w:ascii="Times New Roman" w:eastAsia="Times New Roman" w:hAnsi="Times New Roman" w:cs="Times New Roman"/>
          <w:sz w:val="24"/>
          <w:szCs w:val="24"/>
          <w:lang w:eastAsia="ru-RU"/>
        </w:rPr>
        <w:t xml:space="preserve">. Такие уполномоченные организации должны стать основной опорой СБ в деле мира и играть важную роль не только при реализации решений СБ, но и на этапе их принятия. Такие организации должны получить право обращать внимание СБ на определенные потенциальные конфликты в их регионах. Так, к примеру, если бы не НАТО было основным действующим лицом в процессе разрешения кризиса в Косово, а заранее определенная Югославией организация, к примеру ОБСЕ, или даже СНГ, введение миротворцев в край на вряд ли сопровождалось бы бомбардировками. Обеспечить же привлечение именно уполномоченных региональных организаций в миротворческий процесс в определенном регионе и остановить прецеденты грубейшего нарушения международного права, в первую очередь норм </w:t>
      </w:r>
      <w:proofErr w:type="spellStart"/>
      <w:r w:rsidRPr="00351E64">
        <w:rPr>
          <w:rFonts w:ascii="Times New Roman" w:eastAsia="Times New Roman" w:hAnsi="Times New Roman" w:cs="Times New Roman"/>
          <w:sz w:val="24"/>
          <w:szCs w:val="24"/>
          <w:lang w:eastAsia="ru-RU"/>
        </w:rPr>
        <w:t>jus</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cogenes</w:t>
      </w:r>
      <w:proofErr w:type="spellEnd"/>
      <w:r w:rsidRPr="00351E64">
        <w:rPr>
          <w:rFonts w:ascii="Times New Roman" w:eastAsia="Times New Roman" w:hAnsi="Times New Roman" w:cs="Times New Roman"/>
          <w:sz w:val="24"/>
          <w:szCs w:val="24"/>
          <w:lang w:eastAsia="ru-RU"/>
        </w:rPr>
        <w:t xml:space="preserve"> со стороны стран НАТО, было бы возможно за счет использования права "вето" ПЧ, </w:t>
      </w:r>
      <w:proofErr w:type="gramStart"/>
      <w:r w:rsidRPr="00351E64">
        <w:rPr>
          <w:rFonts w:ascii="Times New Roman" w:eastAsia="Times New Roman" w:hAnsi="Times New Roman" w:cs="Times New Roman"/>
          <w:sz w:val="24"/>
          <w:szCs w:val="24"/>
          <w:lang w:eastAsia="ru-RU"/>
        </w:rPr>
        <w:t>например</w:t>
      </w:r>
      <w:proofErr w:type="gramEnd"/>
      <w:r w:rsidRPr="00351E64">
        <w:rPr>
          <w:rFonts w:ascii="Times New Roman" w:eastAsia="Times New Roman" w:hAnsi="Times New Roman" w:cs="Times New Roman"/>
          <w:sz w:val="24"/>
          <w:szCs w:val="24"/>
          <w:lang w:eastAsia="ru-RU"/>
        </w:rPr>
        <w:t xml:space="preserve"> Россией, в случае, если к обеспечению международного мира и безопасности будут привлекаться иные региональные организации.</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pStyle w:val="a3"/>
        <w:jc w:val="center"/>
      </w:pPr>
      <w:r>
        <w:rPr>
          <w:rStyle w:val="a4"/>
        </w:rPr>
        <w:lastRenderedPageBreak/>
        <w:t xml:space="preserve">МЕЖДУНАРОДНЫЙ КОНТРОЛЬ ПО ХИМИЧЕСКОМУ ОРУЖИЮ </w:t>
      </w:r>
    </w:p>
    <w:p w:rsidR="00351E64" w:rsidRDefault="00351E64" w:rsidP="00351E64">
      <w:pPr>
        <w:pStyle w:val="a3"/>
        <w:jc w:val="center"/>
      </w:pPr>
    </w:p>
    <w:p w:rsidR="00351E64" w:rsidRDefault="00351E64" w:rsidP="00351E64">
      <w:pPr>
        <w:pStyle w:val="a3"/>
        <w:jc w:val="center"/>
      </w:pPr>
      <w:r>
        <w:rPr>
          <w:rStyle w:val="a4"/>
        </w:rPr>
        <w:t>О.Г. Филаретов, аспирант, ТИСБИ</w:t>
      </w:r>
    </w:p>
    <w:p w:rsidR="00351E64" w:rsidRDefault="00351E64" w:rsidP="00351E64">
      <w:pPr>
        <w:pStyle w:val="a3"/>
        <w:jc w:val="center"/>
      </w:pPr>
    </w:p>
    <w:p w:rsidR="00351E64" w:rsidRDefault="00351E64" w:rsidP="00351E64">
      <w:pPr>
        <w:pStyle w:val="a3"/>
        <w:jc w:val="both"/>
      </w:pPr>
      <w:r>
        <w:t>Мировое сообщество на протяжении последнего столетия ХХ века понимает, что важность разрешения глобальных вопросов по разработке и производству, опасного для человечества оружия массового уничтожения требует внимательного контроля в международном праве.</w:t>
      </w:r>
    </w:p>
    <w:p w:rsidR="00351E64" w:rsidRDefault="00351E64" w:rsidP="00351E64">
      <w:pPr>
        <w:pStyle w:val="a3"/>
        <w:jc w:val="both"/>
      </w:pPr>
      <w:r>
        <w:t> </w:t>
      </w:r>
    </w:p>
    <w:p w:rsidR="00351E64" w:rsidRDefault="00351E64" w:rsidP="00351E64">
      <w:pPr>
        <w:pStyle w:val="a3"/>
        <w:jc w:val="both"/>
      </w:pPr>
      <w:r>
        <w:t xml:space="preserve">Институт контроля в международном праве находится на стадии развития и эффективного, поэтапного становления. Международный контроль следует </w:t>
      </w:r>
      <w:proofErr w:type="gramStart"/>
      <w:r>
        <w:t>определить</w:t>
      </w:r>
      <w:proofErr w:type="gramEnd"/>
      <w:r>
        <w:t xml:space="preserve"> как основанную на общепризнанных принципах и нормах современного международного права деятельность субъектов международного права или созданных ими органов, заключающуюся в проверке соблюдения государствами международно-правовых обязательств и в принятии мер по их выполнению. Институт международного контроля в большей степени относится к отрасли "право международных договоров", поскольку своим предназначением имеет осуществление субъектами международного права своих обязательств, вытекающих из международных договоров и, прежде всего, из принципа "договоры должны соблюдаться". Международно-правовые обязательства субъектов международного права возникают не только из международных договоров, но и из решения межправительственных организаций, которые должны добросовестно выполняться в соответствии с общепринятым принципом современного международного права. По существу, институт международного контроля является частью отрасли права международных договоров, тем не менее функционирует и в других отраслях международного права, т.е. там, где возникают международно-правовые обязательства субъектов международного права и необходимость установления контрольного механизма в их осуществлении.</w:t>
      </w:r>
    </w:p>
    <w:p w:rsidR="00351E64" w:rsidRDefault="00351E64" w:rsidP="00351E64">
      <w:pPr>
        <w:pStyle w:val="a3"/>
        <w:jc w:val="both"/>
      </w:pPr>
      <w:r>
        <w:t> </w:t>
      </w:r>
    </w:p>
    <w:p w:rsidR="00351E64" w:rsidRDefault="00351E64" w:rsidP="00351E64">
      <w:pPr>
        <w:pStyle w:val="a3"/>
        <w:jc w:val="both"/>
      </w:pPr>
      <w:r>
        <w:t>Международный контроль выступает в качестве самостоятельного института международного права, который, наряду с международными гарантиями и другими мерами, направлен на обеспечение выполнения государствами международных обязательств. Вместе с тем нельзя рассматривать международные гарантии и международный контроль в отрыве друг от друга. Свидетельство тому - система гарантий и система контроля МАГАТЭ. Если рассматривать отношения субъектов международного права, складывающиеся в результате международно-правового регулирования в различных областях международных отношений, как единое целое, то международный контроль как вид международных отношений по обеспечению реализации норм международного права будет составным элементом этой системы.</w:t>
      </w:r>
    </w:p>
    <w:p w:rsidR="00351E64" w:rsidRDefault="00351E64" w:rsidP="00351E64">
      <w:pPr>
        <w:pStyle w:val="a3"/>
        <w:jc w:val="both"/>
      </w:pPr>
      <w:r>
        <w:t> </w:t>
      </w:r>
    </w:p>
    <w:p w:rsidR="00351E64" w:rsidRDefault="00351E64" w:rsidP="00351E64">
      <w:pPr>
        <w:pStyle w:val="a3"/>
        <w:jc w:val="both"/>
      </w:pPr>
      <w:r>
        <w:t xml:space="preserve">Современная система международных отношений включает в себя более 185 суверенных государств и большое число различных международных организаций. Вместе они составляют бесчисленное множество различных сочетаний, каждое из которых может рассматриваться в качестве подсистемы. Подсистема всегда охватывает определенный </w:t>
      </w:r>
      <w:r>
        <w:lastRenderedPageBreak/>
        <w:t>комплекс системно-структурных связей и отношений, значимость которых для жизнедеятельности системы выявляется в процессе ее функционирования и развития</w:t>
      </w:r>
      <w:hyperlink r:id="rId182" w:anchor="181" w:history="1">
        <w:proofErr w:type="gramStart"/>
        <w:r>
          <w:rPr>
            <w:rStyle w:val="a5"/>
            <w:vertAlign w:val="superscript"/>
          </w:rPr>
          <w:t>181</w:t>
        </w:r>
      </w:hyperlink>
      <w:r>
        <w:t xml:space="preserve"> .</w:t>
      </w:r>
      <w:proofErr w:type="gramEnd"/>
    </w:p>
    <w:p w:rsidR="00351E64" w:rsidRDefault="00351E64" w:rsidP="00351E64">
      <w:pPr>
        <w:pStyle w:val="a3"/>
        <w:jc w:val="both"/>
      </w:pPr>
      <w:r>
        <w:t> </w:t>
      </w:r>
    </w:p>
    <w:p w:rsidR="00351E64" w:rsidRDefault="00351E64" w:rsidP="00351E64">
      <w:pPr>
        <w:pStyle w:val="a3"/>
        <w:jc w:val="both"/>
      </w:pPr>
      <w:r>
        <w:t>Этот элемент тесно связан с остальными элементами единого целого - с потребностями субъектов международного права в установлении определенных отношений между собой, с международно-правовым регулированием этих отношений, с пределами такого регулирования, добровольностью и добросовестностью выполнения международных обязательств, уважением и соблюдением основополагающих принципов современного международного права</w:t>
      </w:r>
      <w:hyperlink r:id="rId183" w:anchor="182" w:history="1">
        <w:r>
          <w:rPr>
            <w:rStyle w:val="a5"/>
            <w:vertAlign w:val="superscript"/>
          </w:rPr>
          <w:t>182</w:t>
        </w:r>
      </w:hyperlink>
      <w:r>
        <w:t>.</w:t>
      </w:r>
    </w:p>
    <w:p w:rsidR="00351E64" w:rsidRDefault="00351E64" w:rsidP="00351E64">
      <w:pPr>
        <w:pStyle w:val="a3"/>
        <w:jc w:val="both"/>
      </w:pPr>
      <w:r>
        <w:t>В Конвенции о запрещении разработки, производства, накопления и применения химического оружия и о его уничтожении от 13 января 1993 года предусмотрено создание как международной организации для реализации его положений, так и учреждения Национального органа, который выступает в качестве национального координационного центра для эффективной связи с Организацией и другими государствами - участниками. При осуществлении проверки Организация запрашивает лишь сведения и данные, которые необходимы для выполнения ее обязанностей по Конвенции. Она принимает всяческие меры, предусмотренные для защиты конфиденциальности информации.</w:t>
      </w:r>
    </w:p>
    <w:p w:rsidR="00351E64" w:rsidRDefault="00351E64" w:rsidP="00351E64">
      <w:pPr>
        <w:pStyle w:val="a3"/>
        <w:jc w:val="both"/>
      </w:pPr>
      <w:r>
        <w:t> </w:t>
      </w:r>
    </w:p>
    <w:p w:rsidR="00351E64" w:rsidRDefault="00351E64" w:rsidP="00351E64">
      <w:pPr>
        <w:pStyle w:val="a3"/>
        <w:jc w:val="both"/>
      </w:pPr>
      <w:r>
        <w:t>Контрольная деятельность должна проводиться таким образом, чтобы ни одна страна или группа стран не были поставлены в привилегированное положение, при котором эта страна или группа стран могли бы навязывать волю другим государствам. Создаваемые государствами контрольные органы обязаны осуществлять свою деятельность таким образом, чтобы не допустить дискриминации в отношении отдельных государств- участников соглашений. Договорная практика государств свидетельствует о четком закреплении принципа невмешательства во внутренние дела государств при осуществлении контрольной деятельности субъектами.</w:t>
      </w:r>
    </w:p>
    <w:p w:rsidR="00351E64" w:rsidRDefault="00351E64" w:rsidP="00351E64">
      <w:pPr>
        <w:pStyle w:val="a3"/>
        <w:jc w:val="both"/>
      </w:pPr>
      <w:r>
        <w:t> </w:t>
      </w:r>
    </w:p>
    <w:p w:rsidR="00351E64" w:rsidRDefault="00351E64" w:rsidP="00351E64">
      <w:pPr>
        <w:pStyle w:val="a3"/>
        <w:jc w:val="both"/>
      </w:pPr>
      <w:r>
        <w:t>Анализ многочисленных международных соглашений свидетельствует о строгом соблюдении государствами при применении системы международного контроля общепринятого принципа суверенного равенства государств. Так, например, Конвенция по химическому оружию закрепила положение, согласно которому государство-участник имеет право просить о проведении инспекции на месте любого объекта на территории или в любом другом месте под юрисдикцией или контролем любого другого государства-участника. Принцип мирного урегулирования является общепринятым принципом международного права, обязывающим государства разрешать возникающие между ними споры исключительно мирными средствами.</w:t>
      </w:r>
    </w:p>
    <w:p w:rsidR="00351E64" w:rsidRDefault="00351E64" w:rsidP="00351E64">
      <w:pPr>
        <w:pStyle w:val="a3"/>
        <w:jc w:val="both"/>
      </w:pPr>
      <w:r>
        <w:t> </w:t>
      </w:r>
    </w:p>
    <w:p w:rsidR="00351E64" w:rsidRDefault="00351E64" w:rsidP="00351E64">
      <w:pPr>
        <w:pStyle w:val="a3"/>
        <w:jc w:val="both"/>
      </w:pPr>
      <w:r>
        <w:t xml:space="preserve">В Конвенции по химическому оружию от 13 января 1993 года сказано, что для реализации Конвенции государства-участники учреждают Организацию по запрещению химического оружия, главным органом которой является Конференция. В целях обеспечения соблюдения положений Конвенции Конференция правомочна применять меры в отношении государства-участника, не выполняющего Конвенцию, по ограничению или приостановлению прав и привилегий данного государства до тех пор, пока оно не примет </w:t>
      </w:r>
      <w:r>
        <w:lastRenderedPageBreak/>
        <w:t>необходимых мер для выполнения своих обязательств, а в случае серьезного ущерба предмету Конвенции Конференция может выступить с рекомендацией о принятии коллективных мер, в особо серьезных случаях довести до сведения Генеральной Ассамблей и Совета Безопасности ООН.</w:t>
      </w:r>
    </w:p>
    <w:p w:rsidR="00351E64" w:rsidRDefault="00351E64" w:rsidP="00351E64">
      <w:pPr>
        <w:pStyle w:val="a3"/>
        <w:jc w:val="both"/>
      </w:pPr>
      <w:r>
        <w:t> </w:t>
      </w:r>
    </w:p>
    <w:p w:rsidR="00351E64" w:rsidRDefault="00351E64" w:rsidP="00351E64">
      <w:pPr>
        <w:pStyle w:val="a3"/>
        <w:jc w:val="both"/>
      </w:pPr>
      <w:r>
        <w:t>Институт международного контроля в соответствии с принципом добросовестного выполнения обязательств ставит перед собой задачу добиться такого положения, чтобы государство и другие субъекты международного права выполняли свои обязательства, вытекающие из договоров и других источников, в соответствии с теми требованиями, которые в них закреплены. Достижение эффективности выполнения международного обязательства может быть связано с его объектом, целями, качеством соблюдения, сроками и другими компонентами. Важное место среди них занимает добросовестность выполнения</w:t>
      </w:r>
      <w:hyperlink r:id="rId184" w:anchor="183" w:history="1">
        <w:r>
          <w:rPr>
            <w:rStyle w:val="a5"/>
            <w:vertAlign w:val="superscript"/>
          </w:rPr>
          <w:t>183</w:t>
        </w:r>
      </w:hyperlink>
      <w:r>
        <w:t>.</w:t>
      </w:r>
    </w:p>
    <w:p w:rsidR="00351E64" w:rsidRDefault="00351E64" w:rsidP="00351E64">
      <w:pPr>
        <w:pStyle w:val="a3"/>
        <w:jc w:val="both"/>
      </w:pPr>
      <w:r>
        <w:t> </w:t>
      </w:r>
    </w:p>
    <w:p w:rsidR="00351E64" w:rsidRDefault="00351E64" w:rsidP="00351E64">
      <w:pPr>
        <w:pStyle w:val="a3"/>
        <w:jc w:val="both"/>
      </w:pPr>
      <w:r>
        <w:t xml:space="preserve">В соответствии с Конвенцией о запрещении разработки, производства, накопления и применения химического оружия и о его уничтожении от 13 января 1993 года Конференция государств-участников, в случае </w:t>
      </w:r>
      <w:proofErr w:type="gramStart"/>
      <w:r>
        <w:t>не выполнения</w:t>
      </w:r>
      <w:proofErr w:type="gramEnd"/>
      <w:r>
        <w:t xml:space="preserve"> государством-участником своих обязательств по Конвенции, может ограничить или приостановить права и привилегии данного государства до тех пор, пока оно не примет необходимых мер для выполнения своих обязательств. В тех случаях, когда в результате деятельности, запрещенной по Конвенции, может быть причинен серьезный ущерб ее предмету и цели, Конференция может рекомендовать государствам-участникам принять коллективные меры в соответствии с международным правом. В особо серьезных случаях Конференция доводит данную проблему до сведения Генеральной Ассамблеи и Совета Безопасности ООН.</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lastRenderedPageBreak/>
        <w:t>СМЕРТНАЯ КАЗНЬ И МЕЖДУНАРОДНОЕ ГУМАНИТАРНОЕ ПРАВО</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 xml:space="preserve">А.Б. </w:t>
      </w:r>
      <w:proofErr w:type="spellStart"/>
      <w:r w:rsidRPr="00351E64">
        <w:rPr>
          <w:rFonts w:ascii="Times New Roman" w:eastAsia="Times New Roman" w:hAnsi="Times New Roman" w:cs="Times New Roman"/>
          <w:b/>
          <w:bCs/>
          <w:sz w:val="24"/>
          <w:szCs w:val="24"/>
          <w:lang w:eastAsia="ru-RU"/>
        </w:rPr>
        <w:t>Мезяев</w:t>
      </w:r>
      <w:proofErr w:type="spellEnd"/>
      <w:r w:rsidRPr="00351E64">
        <w:rPr>
          <w:rFonts w:ascii="Times New Roman" w:eastAsia="Times New Roman" w:hAnsi="Times New Roman" w:cs="Times New Roman"/>
          <w:b/>
          <w:bCs/>
          <w:sz w:val="24"/>
          <w:szCs w:val="24"/>
          <w:lang w:eastAsia="ru-RU"/>
        </w:rPr>
        <w:t>, ст. преподаватель кафедры конституционного и международного права ТИСБИ</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Законодательство практически всех государств мира проводит различие правового регулирования смертной казни в мирное и военное время. И национальное, и международное право отражает этот подход. Даже такие "либеральные" государства, как Кипр или Аргентина, отменив смертную казнь за все преступления в мирное время, сохранили ее как вид наказания в военное время. Международные договоры, как универсальные, так и региональные, также прямо разрешают смертную казнь за военные преступления в военное время. Однако следует отметить особую группу из 73 (!) стран, которые не воспользовались возможностью, предоставленной международными договорами, сохранить смертную казнь в этих исключительных обстоятельствах и отменили смертную казнь полностью. Только за 1998 - 2000 годы смертная казнь за все преступления, как в мирное, так и в военное время, была отменена в восьми государствах: Болгария (1998), Канада (1998), Эстония (1998), Литва (1998), Туркменистан (1999), Украина (1999), Мальта (2000), Кот-д'Ивуар (2000), а также Восточный Тимор (1999)</w:t>
      </w:r>
      <w:hyperlink r:id="rId185" w:anchor="184" w:history="1">
        <w:proofErr w:type="gramStart"/>
        <w:r w:rsidRPr="00351E64">
          <w:rPr>
            <w:rFonts w:ascii="Times New Roman" w:eastAsia="Times New Roman" w:hAnsi="Times New Roman" w:cs="Times New Roman"/>
            <w:color w:val="0000FF"/>
            <w:sz w:val="24"/>
            <w:szCs w:val="24"/>
            <w:u w:val="single"/>
            <w:vertAlign w:val="superscript"/>
            <w:lang w:eastAsia="ru-RU"/>
          </w:rPr>
          <w:t>184</w:t>
        </w:r>
      </w:hyperlink>
      <w:r w:rsidRPr="00351E64">
        <w:rPr>
          <w:rFonts w:ascii="Times New Roman" w:eastAsia="Times New Roman" w:hAnsi="Times New Roman" w:cs="Times New Roman"/>
          <w:sz w:val="24"/>
          <w:szCs w:val="24"/>
          <w:lang w:eastAsia="ru-RU"/>
        </w:rPr>
        <w:t xml:space="preserve"> .</w:t>
      </w:r>
      <w:proofErr w:type="gramEnd"/>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военное время применение смертной казни, как правило, становится более частым, а защитные гарантии менее эффективными. Существуют различные аргументы в защиту возможности применения смертной казни в военное время</w:t>
      </w:r>
      <w:hyperlink r:id="rId186" w:anchor="185" w:history="1">
        <w:proofErr w:type="gramStart"/>
        <w:r w:rsidRPr="00351E64">
          <w:rPr>
            <w:rFonts w:ascii="Times New Roman" w:eastAsia="Times New Roman" w:hAnsi="Times New Roman" w:cs="Times New Roman"/>
            <w:color w:val="0000FF"/>
            <w:sz w:val="24"/>
            <w:szCs w:val="24"/>
            <w:u w:val="single"/>
            <w:vertAlign w:val="superscript"/>
            <w:lang w:eastAsia="ru-RU"/>
          </w:rPr>
          <w:t>185</w:t>
        </w:r>
      </w:hyperlink>
      <w:r w:rsidRPr="00351E64">
        <w:rPr>
          <w:rFonts w:ascii="Times New Roman" w:eastAsia="Times New Roman" w:hAnsi="Times New Roman" w:cs="Times New Roman"/>
          <w:sz w:val="24"/>
          <w:szCs w:val="24"/>
          <w:lang w:eastAsia="ru-RU"/>
        </w:rPr>
        <w:t xml:space="preserve"> .</w:t>
      </w:r>
      <w:proofErr w:type="gramEnd"/>
      <w:r w:rsidRPr="00351E64">
        <w:rPr>
          <w:rFonts w:ascii="Times New Roman" w:eastAsia="Times New Roman" w:hAnsi="Times New Roman" w:cs="Times New Roman"/>
          <w:sz w:val="24"/>
          <w:szCs w:val="24"/>
          <w:lang w:eastAsia="ru-RU"/>
        </w:rPr>
        <w:t xml:space="preserve"> Однако международное право, кроме принципиальной возможности применения смертной казни в военное время, устанавливает особый порядок ее применения. Важнейшим международно-правовым актом, осуществляющим регулирование применения смертной казни в военное время, являются Женевские конвенции 1949 года и Дополнительные протоколы к ним 1977 года.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Как известно, международное гуманитарное право выделяет две основные группы лиц: комбатантов и гражданских лиц. Что касается норм международного гуманитарного права, связанных с применением смертной казни в военное время, то следует говорить о:</w:t>
      </w:r>
    </w:p>
    <w:p w:rsidR="00351E64" w:rsidRPr="00351E64" w:rsidRDefault="00351E64" w:rsidP="009472CE">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комбатантах, взятых в плен (1);</w:t>
      </w:r>
    </w:p>
    <w:p w:rsidR="00351E64" w:rsidRPr="00351E64" w:rsidRDefault="00351E64" w:rsidP="009472CE">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гражданских лицах в руках воюющей стороны (2).</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(1). Защита плененных комбатантов осуществляется на основе III Женевской конвенции</w:t>
      </w:r>
      <w:hyperlink r:id="rId187" w:anchor="127" w:history="1">
        <w:r w:rsidRPr="00351E64">
          <w:rPr>
            <w:rFonts w:ascii="Times New Roman" w:eastAsia="Times New Roman" w:hAnsi="Times New Roman" w:cs="Times New Roman"/>
            <w:color w:val="0000FF"/>
            <w:sz w:val="24"/>
            <w:szCs w:val="24"/>
            <w:u w:val="single"/>
            <w:vertAlign w:val="superscript"/>
            <w:lang w:eastAsia="ru-RU"/>
          </w:rPr>
          <w:t>186</w:t>
        </w:r>
      </w:hyperlink>
      <w:r w:rsidRPr="00351E64">
        <w:rPr>
          <w:rFonts w:ascii="Times New Roman" w:eastAsia="Times New Roman" w:hAnsi="Times New Roman" w:cs="Times New Roman"/>
          <w:sz w:val="24"/>
          <w:szCs w:val="24"/>
          <w:lang w:eastAsia="ru-RU"/>
        </w:rPr>
        <w:t>. Согласно статье 82 этой конвенции, пленные являются объектом права, "действующего в вооруженных силах держащей их в плену Державы". Таким образом, если смертная казнь предусмотрена законодательством государства, в плену войск которого находится комбатант, он может быть приговорен к смертной казни.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Предшественница Женевских конвенций 1949 года, международная конвенция, касающаяся обращения с военнопленными 1929 года, регулировала применение смертной казни чрезвычайно скупо: "Если военнопленному выносится смертный приговор, сообщение о существе и обстоятельствах преступления должно быть направлено, как можно скорее, представителю Державы-покровительницы - для передачи государству, в чьих вооруженных силах служил военнопленный. Смертный приговор не может быть приведен в исполнение ранее, чем, по крайней мере, три месяца со дня получения сообщения Державой-покровительницей"</w:t>
      </w:r>
      <w:hyperlink r:id="rId188" w:anchor="187" w:history="1">
        <w:r w:rsidRPr="00351E64">
          <w:rPr>
            <w:rFonts w:ascii="Times New Roman" w:eastAsia="Times New Roman" w:hAnsi="Times New Roman" w:cs="Times New Roman"/>
            <w:color w:val="0000FF"/>
            <w:sz w:val="24"/>
            <w:szCs w:val="24"/>
            <w:u w:val="single"/>
            <w:vertAlign w:val="superscript"/>
            <w:lang w:eastAsia="ru-RU"/>
          </w:rPr>
          <w:t>187</w:t>
        </w:r>
      </w:hyperlink>
      <w:r w:rsidRPr="00351E64">
        <w:rPr>
          <w:rFonts w:ascii="Times New Roman" w:eastAsia="Times New Roman" w:hAnsi="Times New Roman" w:cs="Times New Roman"/>
          <w:sz w:val="24"/>
          <w:szCs w:val="24"/>
          <w:lang w:eastAsia="ru-RU"/>
        </w:rPr>
        <w:t>. Ныне действующие нормы III Женевской конвенции 1949 года, касающиеся применения смертной казни к военнопленным, более регламентированы, но все же довольно ограничены. Это объясняется временем принятия конвенции и опасениями государств и международных организаций, что более прогрессивные нормы о смертной казни не позволят конвенции собрать достаточное количество ратификаций и вступить в силу. Таким образом, на сегодняшний день действующие нормы предусматривают:</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w:t>
      </w:r>
      <w:r w:rsidRPr="00351E64">
        <w:rPr>
          <w:rFonts w:ascii="Times New Roman" w:eastAsia="Times New Roman" w:hAnsi="Times New Roman" w:cs="Times New Roman"/>
          <w:i/>
          <w:iCs/>
          <w:sz w:val="24"/>
          <w:szCs w:val="24"/>
          <w:lang w:eastAsia="ru-RU"/>
        </w:rPr>
        <w:t xml:space="preserve">Как только это будет возможно, военнопленные и Державы-покровительницы извещаются о преступлениях, </w:t>
      </w:r>
      <w:proofErr w:type="spellStart"/>
      <w:r w:rsidRPr="00351E64">
        <w:rPr>
          <w:rFonts w:ascii="Times New Roman" w:eastAsia="Times New Roman" w:hAnsi="Times New Roman" w:cs="Times New Roman"/>
          <w:i/>
          <w:iCs/>
          <w:sz w:val="24"/>
          <w:szCs w:val="24"/>
          <w:lang w:eastAsia="ru-RU"/>
        </w:rPr>
        <w:t>карающихся</w:t>
      </w:r>
      <w:proofErr w:type="spellEnd"/>
      <w:r w:rsidRPr="00351E64">
        <w:rPr>
          <w:rFonts w:ascii="Times New Roman" w:eastAsia="Times New Roman" w:hAnsi="Times New Roman" w:cs="Times New Roman"/>
          <w:i/>
          <w:iCs/>
          <w:sz w:val="24"/>
          <w:szCs w:val="24"/>
          <w:lang w:eastAsia="ru-RU"/>
        </w:rPr>
        <w:t xml:space="preserve"> смертной казнью по законам держащего в плену государства. Впоследствии ни за какое преступление не может быть установлена смертная казнь без согласия государства, за которым числятся военнопленные.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i/>
          <w:iCs/>
          <w:sz w:val="24"/>
          <w:szCs w:val="24"/>
          <w:lang w:eastAsia="ru-RU"/>
        </w:rPr>
        <w:t>Смертный приговор может быть вынесен военнопленному только в том случае, если внимание суда, в соответствии со статьей 87(2) было особо обращено на тот факт, что поскольку обвиняемый не является гражданином держащего его в плену государства, он не связан долгом верности к нему и что он находится в его власти независимо от его воли</w:t>
      </w:r>
      <w:r w:rsidRPr="00351E64">
        <w:rPr>
          <w:rFonts w:ascii="Times New Roman" w:eastAsia="Times New Roman" w:hAnsi="Times New Roman" w:cs="Times New Roman"/>
          <w:sz w:val="24"/>
          <w:szCs w:val="24"/>
          <w:lang w:eastAsia="ru-RU"/>
        </w:rPr>
        <w:t>"</w:t>
      </w:r>
      <w:hyperlink r:id="rId189" w:anchor="188" w:history="1">
        <w:r w:rsidRPr="00351E64">
          <w:rPr>
            <w:rFonts w:ascii="Times New Roman" w:eastAsia="Times New Roman" w:hAnsi="Times New Roman" w:cs="Times New Roman"/>
            <w:color w:val="0000FF"/>
            <w:sz w:val="24"/>
            <w:szCs w:val="24"/>
            <w:u w:val="single"/>
            <w:vertAlign w:val="superscript"/>
            <w:lang w:eastAsia="ru-RU"/>
          </w:rPr>
          <w:t>188</w:t>
        </w:r>
      </w:hyperlink>
      <w:r w:rsidRPr="00351E64">
        <w:rPr>
          <w:rFonts w:ascii="Times New Roman" w:eastAsia="Times New Roman" w:hAnsi="Times New Roman" w:cs="Times New Roman"/>
          <w:sz w:val="24"/>
          <w:szCs w:val="24"/>
          <w:lang w:eastAsia="ru-RU"/>
        </w:rPr>
        <w:t xml:space="preserve">. Здесь очень важными являются слова "в соответствии со статьей 87(2)". Обратившись к тексту пункта 2 статьи 87, мы увидим, что он предусматривает возможность суда не быть связанным минимальным наказанием, предусмотренным законом. Это означает, </w:t>
      </w:r>
      <w:proofErr w:type="gramStart"/>
      <w:r w:rsidRPr="00351E64">
        <w:rPr>
          <w:rFonts w:ascii="Times New Roman" w:eastAsia="Times New Roman" w:hAnsi="Times New Roman" w:cs="Times New Roman"/>
          <w:sz w:val="24"/>
          <w:szCs w:val="24"/>
          <w:lang w:eastAsia="ru-RU"/>
        </w:rPr>
        <w:t>что</w:t>
      </w:r>
      <w:proofErr w:type="gramEnd"/>
      <w:r w:rsidRPr="00351E64">
        <w:rPr>
          <w:rFonts w:ascii="Times New Roman" w:eastAsia="Times New Roman" w:hAnsi="Times New Roman" w:cs="Times New Roman"/>
          <w:sz w:val="24"/>
          <w:szCs w:val="24"/>
          <w:lang w:eastAsia="ru-RU"/>
        </w:rPr>
        <w:t xml:space="preserve"> если по закону предусматривается обязательная (безальтернативная) смертная казнь, она может быть и не назначена в соответствии с данным международным договором. Суд, обязанный вынести смертный приговор в отношении гражданина государства, в данном случае может назначить более мягкое наказание.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 случае вынесения военнопленному смертного приговора он может быть исполнен не ранее, чем через 6 месяцев со дня получения Державой-покровительницей данного сообщения. Конвенция устанавливает также, что необходимо указать в подобном сообщении. Во-первых, это точный текст приговора; во-вторых, краткий отчет о предварительном следствии и о суде, в котором особенно должны быть выделены моменты обвинения и защиты; в-третьих, указание в соответственном случае места, где наказание будет приводиться в исполнение. Важное значение для особого применения смертной казни к военнопленным имели Женевские конвенции в деле </w:t>
      </w:r>
      <w:proofErr w:type="gramStart"/>
      <w:r w:rsidRPr="00351E64">
        <w:rPr>
          <w:rFonts w:ascii="Times New Roman" w:eastAsia="Times New Roman" w:hAnsi="Times New Roman" w:cs="Times New Roman"/>
          <w:b/>
          <w:bCs/>
          <w:sz w:val="24"/>
          <w:szCs w:val="24"/>
          <w:lang w:eastAsia="ru-RU"/>
        </w:rPr>
        <w:t>О</w:t>
      </w:r>
      <w:proofErr w:type="gramEnd"/>
      <w:r w:rsidRPr="00351E64">
        <w:rPr>
          <w:rFonts w:ascii="Times New Roman" w:eastAsia="Times New Roman" w:hAnsi="Times New Roman" w:cs="Times New Roman"/>
          <w:b/>
          <w:bCs/>
          <w:sz w:val="24"/>
          <w:szCs w:val="24"/>
          <w:lang w:eastAsia="ru-RU"/>
        </w:rPr>
        <w:t xml:space="preserve"> статусе военнопленных </w:t>
      </w:r>
      <w:r w:rsidRPr="00351E64">
        <w:rPr>
          <w:rFonts w:ascii="Times New Roman" w:eastAsia="Times New Roman" w:hAnsi="Times New Roman" w:cs="Times New Roman"/>
          <w:sz w:val="24"/>
          <w:szCs w:val="24"/>
          <w:lang w:eastAsia="ru-RU"/>
        </w:rPr>
        <w:t xml:space="preserve">1949 года. Во время конфликта между Индонезией и Малайзией в 1963-1966 годах двенадцать малайских китайцев, заброшенных на парашютах Индонезией в Малайзию, были взяты в плен. Их судили и признали виновными в нарушении закона 1960 года о внутренней безопасности Федерации Малайзии в части, касающейся незаконного хранения огнестрельного оружия. Все они были приговорены к смертной казни. Однако при рассмотрении их апелляции в федеральном суде Малайзии двум из осужденных смертные </w:t>
      </w:r>
      <w:r w:rsidRPr="00351E64">
        <w:rPr>
          <w:rFonts w:ascii="Times New Roman" w:eastAsia="Times New Roman" w:hAnsi="Times New Roman" w:cs="Times New Roman"/>
          <w:sz w:val="24"/>
          <w:szCs w:val="24"/>
          <w:lang w:eastAsia="ru-RU"/>
        </w:rPr>
        <w:lastRenderedPageBreak/>
        <w:t>приговоры были отменены, так как не было доказательств того, что они являлись подданными Малайзии. Таким образом, суд подтвердил принцип, согласно которому во время международного конфликта лицо пользуется защитой Женевских конвенций 1949 года об обращении с военнопленными до тех пор, пока компетентный суд не определит его положение</w:t>
      </w:r>
      <w:hyperlink r:id="rId190" w:anchor="189" w:history="1">
        <w:r w:rsidRPr="00351E64">
          <w:rPr>
            <w:rFonts w:ascii="Times New Roman" w:eastAsia="Times New Roman" w:hAnsi="Times New Roman" w:cs="Times New Roman"/>
            <w:color w:val="0000FF"/>
            <w:sz w:val="24"/>
            <w:szCs w:val="24"/>
            <w:u w:val="single"/>
            <w:vertAlign w:val="superscript"/>
            <w:lang w:eastAsia="ru-RU"/>
          </w:rPr>
          <w:t>189</w:t>
        </w:r>
      </w:hyperlink>
      <w:r w:rsidRPr="00351E64">
        <w:rPr>
          <w:rFonts w:ascii="Times New Roman" w:eastAsia="Times New Roman" w:hAnsi="Times New Roman" w:cs="Times New Roman"/>
          <w:sz w:val="24"/>
          <w:szCs w:val="24"/>
          <w:lang w:eastAsia="ru-RU"/>
        </w:rPr>
        <w:t>. В данном деле международное право послужило причиной отмены смертных приговоров, так как смертная казнь в военнопленным назначается не так, как гражданам соответствующего государства.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(2). Что касается второй группы - гражданских лиц, то правовой режим применения к ним смертной казни в военное время закреплен в IV Женевской конвенции. Согласно общему правилу, "уголовное законодательство оккупированной территории остается в силе" (ст. 64), правда, с некоторыми возможными исключениями (например, если это законодательство "не представляет угрозу безопасности оккупирующей Державе"). В то же время оккупирующая Держава может подчинить население оккупированной территории своим постановлениям. Если эти постановления предусматривают уголовную ответственность, то они вступают в силу только после того, как будут опубликованы и доведены до сведения на его языке. Обратной силы такие постановления не имеют (ст. 65). Как видим, хотя в этих положениях конвенции смертная казнь прямо не называется, они, безусловно, применимы к смертным приговорам и должны быть учтены. Не случайно статья 68, особо регулирующая применение смертной казни к гражданскому населению, подчеркивает, что нормы статьи применимы в соответствии со статьями 64 и 65.</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каких же случаях смертная казнь может быть вынесена в отношении гражданского населения? Таких случаев три:</w:t>
      </w:r>
    </w:p>
    <w:p w:rsidR="00351E64" w:rsidRPr="00351E64" w:rsidRDefault="00351E64" w:rsidP="009472CE">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шпионаж;</w:t>
      </w:r>
    </w:p>
    <w:p w:rsidR="00351E64" w:rsidRPr="00351E64" w:rsidRDefault="00351E64" w:rsidP="009472CE">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серьезные диверсионные акты, направленные против военных объектов оккупирующей Державы;</w:t>
      </w:r>
    </w:p>
    <w:p w:rsidR="00351E64" w:rsidRPr="00351E64" w:rsidRDefault="00351E64" w:rsidP="009472CE">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умышленные преступления, которые явились причиной смерти одного или нескольких лиц.</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Важно отметить и общее условие ко всем трем случаям: смертная казнь за указанные виды преступлений возможна, если законодательство оккупированной территории до начала оккупации предусматривало в подобных случаях смертную казнь</w:t>
      </w:r>
      <w:hyperlink r:id="rId191" w:anchor="190" w:history="1">
        <w:proofErr w:type="gramStart"/>
        <w:r w:rsidRPr="00351E64">
          <w:rPr>
            <w:rFonts w:ascii="Times New Roman" w:eastAsia="Times New Roman" w:hAnsi="Times New Roman" w:cs="Times New Roman"/>
            <w:color w:val="0000FF"/>
            <w:sz w:val="24"/>
            <w:szCs w:val="24"/>
            <w:u w:val="single"/>
            <w:vertAlign w:val="superscript"/>
            <w:lang w:eastAsia="ru-RU"/>
          </w:rPr>
          <w:t>190</w:t>
        </w:r>
      </w:hyperlink>
      <w:r w:rsidRPr="00351E64">
        <w:rPr>
          <w:rFonts w:ascii="Times New Roman" w:eastAsia="Times New Roman" w:hAnsi="Times New Roman" w:cs="Times New Roman"/>
          <w:sz w:val="24"/>
          <w:szCs w:val="24"/>
          <w:lang w:eastAsia="ru-RU"/>
        </w:rPr>
        <w:t xml:space="preserve"> .</w:t>
      </w:r>
      <w:proofErr w:type="gramEnd"/>
      <w:r w:rsidRPr="00351E64">
        <w:rPr>
          <w:rFonts w:ascii="Times New Roman" w:eastAsia="Times New Roman" w:hAnsi="Times New Roman" w:cs="Times New Roman"/>
          <w:sz w:val="24"/>
          <w:szCs w:val="24"/>
          <w:lang w:eastAsia="ru-RU"/>
        </w:rPr>
        <w:t xml:space="preserve"> Смертные приговоры лицам, совершившим преступления в возрасте до 18 лет, назначаться не могут ни при каких условиях</w:t>
      </w:r>
      <w:hyperlink r:id="rId192" w:anchor="191" w:history="1">
        <w:r w:rsidRPr="00351E64">
          <w:rPr>
            <w:rFonts w:ascii="Times New Roman" w:eastAsia="Times New Roman" w:hAnsi="Times New Roman" w:cs="Times New Roman"/>
            <w:color w:val="0000FF"/>
            <w:sz w:val="24"/>
            <w:szCs w:val="24"/>
            <w:u w:val="single"/>
            <w:vertAlign w:val="superscript"/>
            <w:lang w:eastAsia="ru-RU"/>
          </w:rPr>
          <w:t>191</w:t>
        </w:r>
      </w:hyperlink>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комментарии Женевских конвенций говорится, что установление возрастного предела в 18 лет "</w:t>
      </w:r>
      <w:r w:rsidRPr="00351E64">
        <w:rPr>
          <w:rFonts w:ascii="Times New Roman" w:eastAsia="Times New Roman" w:hAnsi="Times New Roman" w:cs="Times New Roman"/>
          <w:i/>
          <w:iCs/>
          <w:sz w:val="24"/>
          <w:szCs w:val="24"/>
          <w:lang w:eastAsia="ru-RU"/>
        </w:rPr>
        <w:t>соответствует подобным же положениям, содержащимся в уголовных кодексах многих стран, и основывается на том, что лицо, не достигшее 18 лет, не способно полностью принять правильное решение, не всегда понимает значение своих поступков и часто действует под влиянием, если не по принуждению, других</w:t>
      </w:r>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Приговоренный к смерти не может быть ни в каком случае лишен права ходатайствовать о помиловании, и ни один смертный приговор не должен приводиться в исполнение ранее 6 месяцев со дня получения Державой-покровительницей судебного решения, подтверждающего этот смертный приговор или решение об отказе в помиловании.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отдельных случаях, "когда в связи с чрезвычайными обстоятельствами создается подготовленная угроза для безопасности оккупирующей Державы или ее вооруженных сил", этот 6-месячный срок может быть сокращен. Однако о любом сокращении такого срока должно быть сообщено Державе-покровительнице и ей всегда должны быть даны возможность и время для обращения к оккупационным властям по поводу этих смертных приговоров.</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Годы, прошедшие со времени принятия Женевских конвенций, показали, что многие вопросы оказались неурегулированными, либо урегулированными неудовлетворительно. Это относится как к проблеме защиты прав человека во время вооруженных конфликтов в целом, так и к проблеме смертной казни, в частности. Не случайно поэтому, государства осознали необходимость принятия дополнительных соглашений. Такими соглашениями стали Дополнительные протоколы I и II к Женевским конвенциям 1977 года</w:t>
      </w:r>
      <w:hyperlink r:id="rId193" w:anchor="192" w:history="1">
        <w:proofErr w:type="gramStart"/>
        <w:r w:rsidRPr="00351E64">
          <w:rPr>
            <w:rFonts w:ascii="Times New Roman" w:eastAsia="Times New Roman" w:hAnsi="Times New Roman" w:cs="Times New Roman"/>
            <w:color w:val="0000FF"/>
            <w:sz w:val="24"/>
            <w:szCs w:val="24"/>
            <w:u w:val="single"/>
            <w:vertAlign w:val="superscript"/>
            <w:lang w:eastAsia="ru-RU"/>
          </w:rPr>
          <w:t>192</w:t>
        </w:r>
      </w:hyperlink>
      <w:r w:rsidRPr="00351E64">
        <w:rPr>
          <w:rFonts w:ascii="Times New Roman" w:eastAsia="Times New Roman" w:hAnsi="Times New Roman" w:cs="Times New Roman"/>
          <w:sz w:val="24"/>
          <w:szCs w:val="24"/>
          <w:lang w:eastAsia="ru-RU"/>
        </w:rPr>
        <w:t xml:space="preserve"> .</w:t>
      </w:r>
      <w:proofErr w:type="gramEnd"/>
      <w:r w:rsidRPr="00351E64">
        <w:rPr>
          <w:rFonts w:ascii="Times New Roman" w:eastAsia="Times New Roman" w:hAnsi="Times New Roman" w:cs="Times New Roman"/>
          <w:sz w:val="24"/>
          <w:szCs w:val="24"/>
          <w:lang w:eastAsia="ru-RU"/>
        </w:rPr>
        <w:t xml:space="preserve"> Протокол I закрепляет особые меры при применении смертной казни в отношении женщин. Стороны, находящиеся в конфликте, должны "в максимально возможной степени стремиться избегать" вынесения смертных приговоров за преступления, связанные с вооруженным конфликтом, в отношении беременных женщин или матерей малолетних детей, от которых такие дети зависят.</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Особая защита также предусматривается в отношении детей. Смертный приговор за преступления, связанные с вооруженным конфликтом, не приводятся в исполнение в отношении лиц, не достигших 18-летнего возраста на время совершения преступления. Возникает вопрос, в чем же различие с аналогичными положениями Женевских конвенций 1949 года? Разница состоит в том, что по Женевским конвенциям запрет на смертные казни в отношении лиц до 18 лет распространяется только на гражданских лиц, ибо данная норма закреплена в IV Женевской конвенции о защите гражданского населения во время войны, и, соответственно ее нормы действуют только в отношении определенного названием круга лиц. Что касается Дополнительного протокола </w:t>
      </w:r>
      <w:proofErr w:type="gramStart"/>
      <w:r w:rsidRPr="00351E64">
        <w:rPr>
          <w:rFonts w:ascii="Times New Roman" w:eastAsia="Times New Roman" w:hAnsi="Times New Roman" w:cs="Times New Roman"/>
          <w:sz w:val="24"/>
          <w:szCs w:val="24"/>
          <w:lang w:eastAsia="ru-RU"/>
        </w:rPr>
        <w:t>I ,</w:t>
      </w:r>
      <w:proofErr w:type="gramEnd"/>
      <w:r w:rsidRPr="00351E64">
        <w:rPr>
          <w:rFonts w:ascii="Times New Roman" w:eastAsia="Times New Roman" w:hAnsi="Times New Roman" w:cs="Times New Roman"/>
          <w:sz w:val="24"/>
          <w:szCs w:val="24"/>
          <w:lang w:eastAsia="ru-RU"/>
        </w:rPr>
        <w:t xml:space="preserve"> то он распространяет действие своих норм на всех лиц, находящихся под властью сторон, задействованных в вооруженном конфликте. Таким образом, даже если комбатант совершил указанные преступления в возрасте до 18 лет, он также не может быть казнен!</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Дополнительный протокол II к Женевским конвенциям посвящен защите лиц в вооруженных конфликтах немеждународного характера и, соответственно, обязывает государства принять определенные обязательства в отношении своих собственных граждан. В соответствии с параграфом 4 статьи 6 смертный приговор не выносится лицам, совершившим преступления в возрасте до 18 лет, и не приводится в исполнение в отношении беременных женщин и матерей, имеющих малолетних детей. Здесь также необходимо уловить разницу между аналогичным запретом Дополнительного протокола I. </w:t>
      </w:r>
      <w:r w:rsidRPr="00351E64">
        <w:rPr>
          <w:rFonts w:ascii="Times New Roman" w:eastAsia="Times New Roman" w:hAnsi="Times New Roman" w:cs="Times New Roman"/>
          <w:sz w:val="24"/>
          <w:szCs w:val="24"/>
          <w:lang w:eastAsia="ru-RU"/>
        </w:rPr>
        <w:lastRenderedPageBreak/>
        <w:t xml:space="preserve">Если во время </w:t>
      </w:r>
      <w:r w:rsidRPr="00351E64">
        <w:rPr>
          <w:rFonts w:ascii="Times New Roman" w:eastAsia="Times New Roman" w:hAnsi="Times New Roman" w:cs="Times New Roman"/>
          <w:i/>
          <w:iCs/>
          <w:sz w:val="24"/>
          <w:szCs w:val="24"/>
          <w:lang w:eastAsia="ru-RU"/>
        </w:rPr>
        <w:t xml:space="preserve">международного </w:t>
      </w:r>
      <w:r w:rsidRPr="00351E64">
        <w:rPr>
          <w:rFonts w:ascii="Times New Roman" w:eastAsia="Times New Roman" w:hAnsi="Times New Roman" w:cs="Times New Roman"/>
          <w:sz w:val="24"/>
          <w:szCs w:val="24"/>
          <w:lang w:eastAsia="ru-RU"/>
        </w:rPr>
        <w:t>вооруженного конфликта запрещается</w:t>
      </w:r>
      <w:r w:rsidRPr="00351E64">
        <w:rPr>
          <w:rFonts w:ascii="Times New Roman" w:eastAsia="Times New Roman" w:hAnsi="Times New Roman" w:cs="Times New Roman"/>
          <w:b/>
          <w:bCs/>
          <w:i/>
          <w:iCs/>
          <w:sz w:val="24"/>
          <w:szCs w:val="24"/>
          <w:lang w:eastAsia="ru-RU"/>
        </w:rPr>
        <w:t xml:space="preserve"> приведение в исполнение</w:t>
      </w:r>
      <w:r w:rsidRPr="00351E64">
        <w:rPr>
          <w:rFonts w:ascii="Times New Roman" w:eastAsia="Times New Roman" w:hAnsi="Times New Roman" w:cs="Times New Roman"/>
          <w:sz w:val="24"/>
          <w:szCs w:val="24"/>
          <w:lang w:eastAsia="ru-RU"/>
        </w:rPr>
        <w:t xml:space="preserve"> смертного приговора в отношении несовершеннолетнего, то во время </w:t>
      </w:r>
      <w:r w:rsidRPr="00351E64">
        <w:rPr>
          <w:rFonts w:ascii="Times New Roman" w:eastAsia="Times New Roman" w:hAnsi="Times New Roman" w:cs="Times New Roman"/>
          <w:i/>
          <w:iCs/>
          <w:sz w:val="24"/>
          <w:szCs w:val="24"/>
          <w:lang w:eastAsia="ru-RU"/>
        </w:rPr>
        <w:t>внутреннего</w:t>
      </w:r>
      <w:r w:rsidRPr="00351E64">
        <w:rPr>
          <w:rFonts w:ascii="Times New Roman" w:eastAsia="Times New Roman" w:hAnsi="Times New Roman" w:cs="Times New Roman"/>
          <w:sz w:val="24"/>
          <w:szCs w:val="24"/>
          <w:lang w:eastAsia="ru-RU"/>
        </w:rPr>
        <w:t xml:space="preserve"> вооруженного конфликта запрещается само </w:t>
      </w:r>
      <w:r w:rsidRPr="00351E64">
        <w:rPr>
          <w:rFonts w:ascii="Times New Roman" w:eastAsia="Times New Roman" w:hAnsi="Times New Roman" w:cs="Times New Roman"/>
          <w:b/>
          <w:bCs/>
          <w:i/>
          <w:iCs/>
          <w:sz w:val="24"/>
          <w:szCs w:val="24"/>
          <w:lang w:eastAsia="ru-RU"/>
        </w:rPr>
        <w:t>вынесение</w:t>
      </w:r>
      <w:r w:rsidRPr="00351E64">
        <w:rPr>
          <w:rFonts w:ascii="Times New Roman" w:eastAsia="Times New Roman" w:hAnsi="Times New Roman" w:cs="Times New Roman"/>
          <w:sz w:val="24"/>
          <w:szCs w:val="24"/>
          <w:lang w:eastAsia="ru-RU"/>
        </w:rPr>
        <w:t xml:space="preserve"> такого приговора.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Комментируя Женевские конвенции, </w:t>
      </w:r>
      <w:proofErr w:type="spellStart"/>
      <w:r w:rsidRPr="00351E64">
        <w:rPr>
          <w:rFonts w:ascii="Times New Roman" w:eastAsia="Times New Roman" w:hAnsi="Times New Roman" w:cs="Times New Roman"/>
          <w:sz w:val="24"/>
          <w:szCs w:val="24"/>
          <w:lang w:eastAsia="ru-RU"/>
        </w:rPr>
        <w:t>Ф.Кальсховен</w:t>
      </w:r>
      <w:proofErr w:type="spellEnd"/>
      <w:r w:rsidRPr="00351E64">
        <w:rPr>
          <w:rFonts w:ascii="Times New Roman" w:eastAsia="Times New Roman" w:hAnsi="Times New Roman" w:cs="Times New Roman"/>
          <w:sz w:val="24"/>
          <w:szCs w:val="24"/>
          <w:lang w:eastAsia="ru-RU"/>
        </w:rPr>
        <w:t xml:space="preserve"> особо отмечал, </w:t>
      </w:r>
      <w:proofErr w:type="gramStart"/>
      <w:r w:rsidRPr="00351E64">
        <w:rPr>
          <w:rFonts w:ascii="Times New Roman" w:eastAsia="Times New Roman" w:hAnsi="Times New Roman" w:cs="Times New Roman"/>
          <w:sz w:val="24"/>
          <w:szCs w:val="24"/>
          <w:lang w:eastAsia="ru-RU"/>
        </w:rPr>
        <w:t>что</w:t>
      </w:r>
      <w:proofErr w:type="gramEnd"/>
      <w:r w:rsidRPr="00351E64">
        <w:rPr>
          <w:rFonts w:ascii="Times New Roman" w:eastAsia="Times New Roman" w:hAnsi="Times New Roman" w:cs="Times New Roman"/>
          <w:sz w:val="24"/>
          <w:szCs w:val="24"/>
          <w:lang w:eastAsia="ru-RU"/>
        </w:rPr>
        <w:t xml:space="preserve"> если лицу, совершившему преступление в возрасте до 18 лет, "был вынесен смертный приговор, этот приговор не будет приведен в исполнение"</w:t>
      </w:r>
      <w:hyperlink r:id="rId194" w:anchor="193" w:history="1">
        <w:r w:rsidRPr="00351E64">
          <w:rPr>
            <w:rFonts w:ascii="Times New Roman" w:eastAsia="Times New Roman" w:hAnsi="Times New Roman" w:cs="Times New Roman"/>
            <w:color w:val="0000FF"/>
            <w:sz w:val="24"/>
            <w:szCs w:val="24"/>
            <w:u w:val="single"/>
            <w:vertAlign w:val="superscript"/>
            <w:lang w:eastAsia="ru-RU"/>
          </w:rPr>
          <w:t>193</w:t>
        </w:r>
      </w:hyperlink>
      <w:r w:rsidRPr="00351E64">
        <w:rPr>
          <w:rFonts w:ascii="Times New Roman" w:eastAsia="Times New Roman" w:hAnsi="Times New Roman" w:cs="Times New Roman"/>
          <w:sz w:val="24"/>
          <w:szCs w:val="24"/>
          <w:lang w:eastAsia="ru-RU"/>
        </w:rPr>
        <w:t xml:space="preserve">. Второй Дополнительный протокол выгодно отличается от конвенции 1949 года, ибо само </w:t>
      </w:r>
      <w:r w:rsidRPr="00351E64">
        <w:rPr>
          <w:rFonts w:ascii="Times New Roman" w:eastAsia="Times New Roman" w:hAnsi="Times New Roman" w:cs="Times New Roman"/>
          <w:i/>
          <w:iCs/>
          <w:sz w:val="24"/>
          <w:szCs w:val="24"/>
          <w:lang w:eastAsia="ru-RU"/>
        </w:rPr>
        <w:t>вынесение</w:t>
      </w:r>
      <w:r w:rsidRPr="00351E64">
        <w:rPr>
          <w:rFonts w:ascii="Times New Roman" w:eastAsia="Times New Roman" w:hAnsi="Times New Roman" w:cs="Times New Roman"/>
          <w:sz w:val="24"/>
          <w:szCs w:val="24"/>
          <w:lang w:eastAsia="ru-RU"/>
        </w:rPr>
        <w:t xml:space="preserve"> смертного приговора несовершеннолетнему является бесчеловечным и жестоким обращением. Следует иметь в виду, что нормы международного гуманитарного права являются частью правовой системы РФ, они имеют прямое действие и приоритет в случае противоречия с нормами законов России.</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pStyle w:val="a3"/>
        <w:jc w:val="center"/>
      </w:pPr>
      <w:r>
        <w:rPr>
          <w:rStyle w:val="a4"/>
        </w:rPr>
        <w:lastRenderedPageBreak/>
        <w:t>АВТОНОМНЫЙ КРАЙ КОСОВО КАК ОБЪЕКТ "ГУМАНИТАРНОЙ МИРОТВОРЧЕСКОЙ ОПЕРАЦИИ"</w:t>
      </w:r>
    </w:p>
    <w:p w:rsidR="00351E64" w:rsidRDefault="00351E64" w:rsidP="00351E64">
      <w:pPr>
        <w:pStyle w:val="a3"/>
        <w:jc w:val="center"/>
      </w:pPr>
    </w:p>
    <w:p w:rsidR="00351E64" w:rsidRDefault="00351E64" w:rsidP="00351E64">
      <w:pPr>
        <w:pStyle w:val="a3"/>
        <w:jc w:val="center"/>
      </w:pPr>
      <w:r>
        <w:rPr>
          <w:rStyle w:val="a4"/>
        </w:rPr>
        <w:t xml:space="preserve">В.А. Шагалов, </w:t>
      </w:r>
      <w:proofErr w:type="spellStart"/>
      <w:r>
        <w:rPr>
          <w:rStyle w:val="a4"/>
        </w:rPr>
        <w:t>к.и.н</w:t>
      </w:r>
      <w:proofErr w:type="spellEnd"/>
      <w:r>
        <w:rPr>
          <w:rStyle w:val="a4"/>
        </w:rPr>
        <w:t xml:space="preserve">., доцент К.М. Филиппова, ТИСБИ </w:t>
      </w:r>
    </w:p>
    <w:p w:rsidR="00351E64" w:rsidRDefault="00351E64" w:rsidP="00351E64">
      <w:pPr>
        <w:pStyle w:val="a3"/>
        <w:jc w:val="center"/>
      </w:pPr>
    </w:p>
    <w:p w:rsidR="00351E64" w:rsidRDefault="00351E64" w:rsidP="00351E64">
      <w:pPr>
        <w:pStyle w:val="a3"/>
        <w:jc w:val="both"/>
      </w:pPr>
      <w:r>
        <w:t>В последнее время к процессу миротворчества активно подключились международные неправительственные правозащитные организации (МНПО). Начало этому процессу положила резолюция Совета Безопасности №688, принятая в апреле 1991 года. В это время после проведения операции союзных сил против Ирака в стране началась гражданская война и в соседние страны хлынул поток беженцев, главным образом, курдских. В своей резолюции Совет Безопасности впервые связал поддержание международного мира и безопасности с гуманитарными проблемами и поставил гуманитарные соображения выше принципа невмешательства. Таким образом, эта резолюция открыла эпоху так называемых "гуманитарных миротворческих операций", в начале которых не последнюю роль играет МНПО.</w:t>
      </w:r>
    </w:p>
    <w:p w:rsidR="00351E64" w:rsidRDefault="00351E64" w:rsidP="00351E64">
      <w:pPr>
        <w:pStyle w:val="a3"/>
        <w:jc w:val="both"/>
      </w:pPr>
      <w:r>
        <w:t> </w:t>
      </w:r>
    </w:p>
    <w:p w:rsidR="00351E64" w:rsidRDefault="00351E64" w:rsidP="00351E64">
      <w:pPr>
        <w:pStyle w:val="a3"/>
        <w:jc w:val="both"/>
      </w:pPr>
      <w:r>
        <w:t>В 1999 году объектом такой операции стал автономный край Косово в составе Сербии, большую часть населения которого составляют этнические албанцы. Общий диагноз действий НАТО в Югославии представляется нам однозначным: это попытка рецидива "политики силы" и подрыва всей системы современного международного права, вы том числе воплощенного в самой идее международно- правового "</w:t>
      </w:r>
      <w:proofErr w:type="spellStart"/>
      <w:r>
        <w:t>Pax</w:t>
      </w:r>
      <w:proofErr w:type="spellEnd"/>
      <w:r>
        <w:t xml:space="preserve"> </w:t>
      </w:r>
      <w:proofErr w:type="spellStart"/>
      <w:r>
        <w:t>Europeana</w:t>
      </w:r>
      <w:proofErr w:type="spellEnd"/>
      <w:r>
        <w:t xml:space="preserve">" - то есть "мира </w:t>
      </w:r>
      <w:proofErr w:type="gramStart"/>
      <w:r>
        <w:t>по европейски</w:t>
      </w:r>
      <w:proofErr w:type="gramEnd"/>
      <w:r>
        <w:t>", которому противопоставляется новая, основанная не на праве, а на силе, модель мира "</w:t>
      </w:r>
      <w:proofErr w:type="spellStart"/>
      <w:r>
        <w:t>Pax</w:t>
      </w:r>
      <w:proofErr w:type="spellEnd"/>
      <w:r>
        <w:t xml:space="preserve"> NATO". Нанесен удар и по усилиям международного сообщества, связанным с Десятилетием международного права, объявленным ООН в 1989 -1999 годах, и по самим основам объявленного ООН на 2000 год Международного года культуры мира.</w:t>
      </w:r>
    </w:p>
    <w:p w:rsidR="00351E64" w:rsidRDefault="00351E64" w:rsidP="00351E64">
      <w:pPr>
        <w:pStyle w:val="a3"/>
        <w:jc w:val="both"/>
      </w:pPr>
      <w:r>
        <w:t> </w:t>
      </w:r>
    </w:p>
    <w:p w:rsidR="00351E64" w:rsidRDefault="00351E64" w:rsidP="00351E64">
      <w:pPr>
        <w:pStyle w:val="a3"/>
        <w:jc w:val="both"/>
      </w:pPr>
      <w:r>
        <w:t>Действия Североатлантического альянса получили незамедлительное и однозначное осуждение со стороны ряда влиятельных государств, два из которых являются постоянными членами Совета Безопасности ООН. Применение НАТО силы против Югославии было квалифицировано Российской Федерацией, Белоруссией, Китаем, Индией и другими государствами как акт агрессии против суверенного государства, ибо согласно определению, принятому Генеральной Ассамблеей ООН в 1974 году, агрессией является применение вооруженной силы государством против суверенитета, территориальной неприкосновенности или политической независимости другого государства (статья 1). К числу актов агрессии, в частности, относится и бомбардировка вооруженными силами государства территории другого государства (статья 3).</w:t>
      </w:r>
    </w:p>
    <w:p w:rsidR="00351E64" w:rsidRDefault="00351E64" w:rsidP="00351E64">
      <w:pPr>
        <w:pStyle w:val="a3"/>
        <w:jc w:val="both"/>
      </w:pPr>
      <w:r>
        <w:t> </w:t>
      </w:r>
    </w:p>
    <w:p w:rsidR="00351E64" w:rsidRDefault="00351E64" w:rsidP="00351E64">
      <w:pPr>
        <w:pStyle w:val="a3"/>
        <w:jc w:val="both"/>
      </w:pPr>
      <w:r>
        <w:t xml:space="preserve">Однако же руководство НАТО и тех стран - членов Альянса, которые осуществили военную акцию против Югославии, начав бомбардировки ее территории в марте 1999, настойчиво старается представить ее как, во-первых, соответствующую международному праву и, во-вторых, его развивающую. Для оправдания своих действий страны - члены НАТО приводят ряд аргументов. Вот как они рассуждают: Международное право развивается, и действия </w:t>
      </w:r>
      <w:r>
        <w:lastRenderedPageBreak/>
        <w:t>НАТО находятся в русле этого развития, а не противоречат ему. В межгосударственных отношениях главенствующее положение стала занимать концепция защиты прав человека. Устав ООН содержит общие ориентиры в этой области. В настоящее время начинают признавать, что в случае грубых нарушений прав человека в каком-либо государстве международное сообщество может вмешаться с целью их пресечения. С этих позиций должны быть пересмотрены принцип невмешательства, принцип неприменения силы и понятие государственного суверенитета.</w:t>
      </w:r>
    </w:p>
    <w:p w:rsidR="00351E64" w:rsidRDefault="00351E64" w:rsidP="00351E64">
      <w:pPr>
        <w:pStyle w:val="a3"/>
        <w:jc w:val="both"/>
      </w:pPr>
      <w:r>
        <w:t> </w:t>
      </w:r>
    </w:p>
    <w:p w:rsidR="00351E64" w:rsidRDefault="00351E64" w:rsidP="00351E64">
      <w:pPr>
        <w:pStyle w:val="a3"/>
        <w:jc w:val="both"/>
      </w:pPr>
      <w:r>
        <w:t>Далее. Согласно статье 24 Устава ООН на Совет Безопасности возложена не только главная ответственность за поддержание международного мира и безопасности. Но ее несут и члены ООН. Значит, члены ООН могут действовать и помимо Совета, в том числе и прибегать к применению силы для пресечения нарушений прав человека. Необходимость такого роды действий диктуется чрезвычайными обстоятельствами и имеет исключительный характер. В прошлом можно найти такие примеры, когда вооруженное вмешательство с целью пресечения массовых и грубых нарушений прав человека, предпринятое без санкций совета Безопасности, не вызывало возражений со стороны международного сообщества.</w:t>
      </w:r>
    </w:p>
    <w:p w:rsidR="00351E64" w:rsidRDefault="00351E64" w:rsidP="00351E64">
      <w:pPr>
        <w:pStyle w:val="a3"/>
        <w:jc w:val="both"/>
      </w:pPr>
      <w:r>
        <w:t> </w:t>
      </w:r>
    </w:p>
    <w:p w:rsidR="00351E64" w:rsidRDefault="00351E64" w:rsidP="00351E64">
      <w:pPr>
        <w:pStyle w:val="a3"/>
        <w:jc w:val="both"/>
      </w:pPr>
      <w:r>
        <w:t>Но для того чтобы военное вмешательство НАТО могло быть оправдано, оно должно было восстановить справедливость, то есть обеспечить мир и спокойствие всем гражданам Югославии, проживающим в Косово, независимо от их этнического происхождения. При этом, безусловно, должны иметь место беспристрастность и "международного арбитра" к конфликтующим сторонам и объективность оценки ситуации, а в выборе средств устранения несправедливости не может существовать права на ошибку, ибо речь идет о человеческих жизнях. Реально же весной этого года происходит эскалация насилия в Косово, ответственными за которое были как минимум обе стороны (албанская и сербская). Однако Запад с подачи некоторых гуманитарных международных организаций, зачастую не гнушавшихся прямых подлогов и фальсификаций (которые сегодня уже доказаны), обвинил в этом сербов и сделал их главным виновником косовской трагедии. После вынесения такого "обвинения" последовало наказание в форме прямой вооруженной агрессии, названной "гуманитарной миротворческой акцией", в результате которой погибли сотни мирных жителей, а сотни тысяч сербов вынуждены были бежать из Косова, спасаясь от ударов натовской авиации и насилия со стороны так называемой Освободительной Армии Косово.</w:t>
      </w:r>
    </w:p>
    <w:p w:rsidR="00351E64" w:rsidRDefault="00351E64" w:rsidP="00351E64">
      <w:pPr>
        <w:pStyle w:val="a3"/>
        <w:jc w:val="both"/>
      </w:pPr>
      <w:r>
        <w:t> </w:t>
      </w:r>
    </w:p>
    <w:p w:rsidR="00351E64" w:rsidRDefault="00351E64" w:rsidP="00351E64">
      <w:pPr>
        <w:pStyle w:val="a3"/>
        <w:jc w:val="both"/>
      </w:pPr>
      <w:r>
        <w:t xml:space="preserve">На пороге XXI столетия теория и практика миротворчества переживают глубокий системный кризис, который вызван прежде всего глубокими изменениями в международных отношениях, инициированными кризисом мирового коммунизма, распадом СССР и сломом </w:t>
      </w:r>
      <w:proofErr w:type="spellStart"/>
      <w:r>
        <w:t>Ялтинско</w:t>
      </w:r>
      <w:proofErr w:type="spellEnd"/>
      <w:r>
        <w:t>-Потсдамской системы международных отношений. Перед армией обществоведов и политиков сегодня стоит главная задача-сформировать адекватную систему мер миротворческого характера, которая бы отвечала вызову времени.</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lastRenderedPageBreak/>
        <w:t xml:space="preserve">КУЛЬТУРА, ОБРАЗОВАНИЕ И БЕЗОПАСНОСТЬ ЖИЗНЕДЕЯТЕЛЬНОСТИ ОБЩЕСТВА В СОВРЕМЕННОМ МИРЕ </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 xml:space="preserve">Г.С. </w:t>
      </w:r>
      <w:proofErr w:type="spellStart"/>
      <w:r w:rsidRPr="00351E64">
        <w:rPr>
          <w:rFonts w:ascii="Times New Roman" w:eastAsia="Times New Roman" w:hAnsi="Times New Roman" w:cs="Times New Roman"/>
          <w:b/>
          <w:bCs/>
          <w:sz w:val="24"/>
          <w:szCs w:val="24"/>
          <w:lang w:eastAsia="ru-RU"/>
        </w:rPr>
        <w:t>Клетнев</w:t>
      </w:r>
      <w:proofErr w:type="spellEnd"/>
      <w:r w:rsidRPr="00351E64">
        <w:rPr>
          <w:rFonts w:ascii="Times New Roman" w:eastAsia="Times New Roman" w:hAnsi="Times New Roman" w:cs="Times New Roman"/>
          <w:b/>
          <w:bCs/>
          <w:sz w:val="24"/>
          <w:szCs w:val="24"/>
          <w:lang w:eastAsia="ru-RU"/>
        </w:rPr>
        <w:t xml:space="preserve">, д.т.н., профессор, проректор по научной работе ТИСБИ </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История распорядилась так, что несколько столетий тому назад в Западной Европе столкнулись и вступили во взаимодействие несколько социальных феноменов, каждый из которых нес в себе рациональное начало: античная наука, рациональное римское право и рациональный способ ведения хозяйства. Социокультурным фактором, позволившим синтезировать все эти только намечавшиеся тенденции общественной жизни, явился протестантизм. Именно он создал мировоззренческие предпосылки по использованию достижений науки в экономике. В итоге в Европе, а позже и во всем мире сложился новый тип общества, которого раньше никогда не было: индустриальное общество. Данное общество характеризуется господством формально-рационального начала, модернизацией во всем и именно этим и отличается от существовавших до него традиционных обществ.</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Модернизация - это сложнейший, взаимосвязанный комплекс экономических, политических, социальных и культурных изменений, направленных на создание тех типов социальных систем, которые сложились к концу XIX века и получили свое широкое распространение в ХХ веке. Модернизация в области культуры - это (частичный) отказ от поведения в соответствии с традициями, рационализация сознания в соответствии с научными знаниями, мировоззренческий и конфессиональный плюрализм.</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экономической области модернизация должна означать еще большую рационализацию экономического действия - активное внедрение научных знаний в производство, дальнейшее разделение труда, развитие рынков товаров и денег, постоянное усложнение организации производства, появление мощных стимулов для внедрения технологических и организационных новшеств.</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политической области модернизация выражается в упорядочении административно-политических границ и в образовании национальных или федеративных государств, в разделении властей. К концу 20 столетия индустриальное общество начинает переходить на стадию так называемого общества риска. Как в свое время модернизация разрушила основы феодального общества и произвела на свет "индустриальное общество", сегодняшняя модернизация разрушает его, чтобы родить новую формацию "постиндустриальное общество", или по-другому "общество риска".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Со становлением "общества риска" человек теряет контроль над природными процессами. Современный человек живет не в биосфере, а в </w:t>
      </w:r>
      <w:proofErr w:type="spellStart"/>
      <w:r w:rsidRPr="00351E64">
        <w:rPr>
          <w:rFonts w:ascii="Times New Roman" w:eastAsia="Times New Roman" w:hAnsi="Times New Roman" w:cs="Times New Roman"/>
          <w:sz w:val="24"/>
          <w:szCs w:val="24"/>
          <w:lang w:eastAsia="ru-RU"/>
        </w:rPr>
        <w:t>техносфере</w:t>
      </w:r>
      <w:proofErr w:type="spellEnd"/>
      <w:r w:rsidRPr="00351E64">
        <w:rPr>
          <w:rFonts w:ascii="Times New Roman" w:eastAsia="Times New Roman" w:hAnsi="Times New Roman" w:cs="Times New Roman"/>
          <w:sz w:val="24"/>
          <w:szCs w:val="24"/>
          <w:lang w:eastAsia="ru-RU"/>
        </w:rPr>
        <w:t xml:space="preserve">: во "второй природе", т.е. природе, созданной руками человека: гидроэлектростанции, плотины, АЭС, в будущем </w:t>
      </w:r>
      <w:r w:rsidRPr="00351E64">
        <w:rPr>
          <w:rFonts w:ascii="Times New Roman" w:eastAsia="Times New Roman" w:hAnsi="Times New Roman" w:cs="Times New Roman"/>
          <w:sz w:val="24"/>
          <w:szCs w:val="24"/>
          <w:lang w:eastAsia="ru-RU"/>
        </w:rPr>
        <w:lastRenderedPageBreak/>
        <w:t xml:space="preserve">клонирование животных и человеческих существ. Все это выходит </w:t>
      </w:r>
      <w:proofErr w:type="gramStart"/>
      <w:r w:rsidRPr="00351E64">
        <w:rPr>
          <w:rFonts w:ascii="Times New Roman" w:eastAsia="Times New Roman" w:hAnsi="Times New Roman" w:cs="Times New Roman"/>
          <w:sz w:val="24"/>
          <w:szCs w:val="24"/>
          <w:lang w:eastAsia="ru-RU"/>
        </w:rPr>
        <w:t>из под</w:t>
      </w:r>
      <w:proofErr w:type="gramEnd"/>
      <w:r w:rsidRPr="00351E64">
        <w:rPr>
          <w:rFonts w:ascii="Times New Roman" w:eastAsia="Times New Roman" w:hAnsi="Times New Roman" w:cs="Times New Roman"/>
          <w:sz w:val="24"/>
          <w:szCs w:val="24"/>
          <w:lang w:eastAsia="ru-RU"/>
        </w:rPr>
        <w:t xml:space="preserve"> контроля человечества и превращается в слепую и дикую силу, в господство хаоса и произвола. Еще в 1940 г. академик В.И. Вернадский писал, что гигант Куйбышевской ГЭС "…проникнут элементом риска", потому что "…область молодых геологических процессов при грандиозных технических сооружениях нашего времени может приносить нам такие неожиданности…", от которых содрогнется весь мир. С учетом сложившейся тенденции развития цивилизации в сфере культуры происходит пересмотр норм развития общества.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Нормативный идеал индустриального общества - это достижение социального равенства, будь то "Общество равных возможностей", в котором любой гражданин может стать миллионером, или советская уравниловка, в которой любой инженер, рабочий или посудомойка имеют равные права на получение материальных благ.</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Нормативный же идеал "общества риска" - это безопасность. Более того, в таком обществе изменяется роль культуры, образования и науки. Большинство современных видов риска не воспринимается органами чувств человека - они имеют скрытый характер. Классическим примером может служить поведение многих людей после Чернобыльской аварии. Часть людей, не понимая опасности не только для себя, но и для последующего поколения и всего общества, не только отказались выехать из "зоны отчуждения", но и продолжают выращивать фрукты и овощи, продавая их по всей территории СНГ. На этом примере мы видим все те пороки, которые имеют место в вышеназванных странах, - беспомощность государства, отсутствие действенных законов, а самое главное-отсутствие необходимого просвещения, воспитания, культуры поведения человека в современном обществе.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Наглядным примером воспитания культуры поведения в обществе и создания максимальной безопасности для каждого индивидуума и в целом для нации может служить Япония, где на государственном уровне разработаны и законодательно закреплены принципы системы безопасности. Назовем некоторые из них: ·</w:t>
      </w:r>
    </w:p>
    <w:p w:rsidR="00351E64" w:rsidRPr="00351E64" w:rsidRDefault="00351E64" w:rsidP="009472CE">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Непрерывность обучения и повышение квалификации каждого человека в области предупреждения аварий, техногенных катастроф и т.д. </w:t>
      </w:r>
    </w:p>
    <w:p w:rsidR="00351E64" w:rsidRPr="00351E64" w:rsidRDefault="00351E64" w:rsidP="009472CE">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Безопасность во всем и всегда. </w:t>
      </w:r>
    </w:p>
    <w:p w:rsidR="00351E64" w:rsidRPr="00351E64" w:rsidRDefault="00351E64" w:rsidP="009472CE">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Культура поведения и терпимость друг к другу в обществе. </w:t>
      </w:r>
    </w:p>
    <w:p w:rsidR="00351E64" w:rsidRPr="00351E64" w:rsidRDefault="00351E64" w:rsidP="009472CE">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Массовость участия в мероприятиях по обеспечению безопасности жизнедеятельности.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Второй немаловажный аспект, который оказывает существенное влияние на безопасность общества, - это глобализация. Глобализация носит всеобъемлющий характер. С одной стороны, социологи обращают внимание на процесс сближения культур и их универсализацию. С другой стороны, глобализация не является торжеством выравнивания социально-экономического развития отдельных регионов мира, а скорее, напротив, его диалектическая природа заключается в сосуществовании двух противоположных тенденций: с одной стороны, универсализация при сужении разнообразия, а с другой - более резкое разделение уровня и качества жизни отдельных стран и регионов.</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целом процесс глобализации развивается одновременно во всех сферах общественной жизни: экономической, социальной, правовой, политической, культурной. Из-за существования огромного различия в экономическом и культурном уровне развития отдельных стран и целых регионов мира постоянно в различных уголках сообщества возникают конфликтные ситуации - и как следствие, появляется риск безопасной жизнедеятельности человечества.</w:t>
      </w:r>
      <w:r w:rsidRPr="00351E64">
        <w:rPr>
          <w:rFonts w:ascii="Times New Roman" w:eastAsia="Times New Roman" w:hAnsi="Times New Roman" w:cs="Times New Roman"/>
          <w:b/>
          <w:bCs/>
          <w:i/>
          <w:iCs/>
          <w:sz w:val="24"/>
          <w:szCs w:val="24"/>
          <w:lang w:eastAsia="ru-RU"/>
        </w:rPr>
        <w:t xml:space="preserve"> Главной задачей на сегодняшний день</w:t>
      </w:r>
      <w:r w:rsidRPr="00351E64">
        <w:rPr>
          <w:rFonts w:ascii="Times New Roman" w:eastAsia="Times New Roman" w:hAnsi="Times New Roman" w:cs="Times New Roman"/>
          <w:sz w:val="24"/>
          <w:szCs w:val="24"/>
          <w:lang w:eastAsia="ru-RU"/>
        </w:rPr>
        <w:t>, на взгляд автора, всего мирового сообщества является осознание того, что все мы живем в одном доме по имени "Земля" и этот дом очень хрупкий и маленький, сегодня его могут разрушить не природные явления, а руки человека.</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lastRenderedPageBreak/>
        <w:t xml:space="preserve">ЧЕРТЫ СОЦИОЛОГИЧЕСКОГО ПОРТРЕТА ПРЕДСТАВИТЕЛЕЙ СОЦИАЛЬНО НЕЗАЩИЩЕННЫХ СОЦИАЛЬНЫХ ГРУПП РТ </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 xml:space="preserve">К.И. Новикова, министр социального обеспечения </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Для формирования взвешенной социальной политики очень важно изучать особенности социального самочувствия различных социальных групп населения РТ. При формировании государственной социальной политики необходимо учитывать массовые настроения, ожидания, чувства различных групп населения, отношение людей к разным сторонам жизни и то, как оно выражается в устойчивых мнениях, оценках социальных явлений, в степени удовлетворенности своей жизнью. Состояние и тенденции социального самочувствия могут существенно влиять на общую социально-экономическую ситуацию в области, определять реакции на управленческие решения властных органов и формы выражения социального недовольства.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Современная социальная политика любого государства или региона должна основываться на научном исследовании общества, которое </w:t>
      </w:r>
      <w:proofErr w:type="gramStart"/>
      <w:r w:rsidRPr="00351E64">
        <w:rPr>
          <w:rFonts w:ascii="Times New Roman" w:eastAsia="Times New Roman" w:hAnsi="Times New Roman" w:cs="Times New Roman"/>
          <w:sz w:val="24"/>
          <w:szCs w:val="24"/>
          <w:lang w:eastAsia="ru-RU"/>
        </w:rPr>
        <w:t>предполагает</w:t>
      </w:r>
      <w:proofErr w:type="gramEnd"/>
      <w:r w:rsidRPr="00351E64">
        <w:rPr>
          <w:rFonts w:ascii="Times New Roman" w:eastAsia="Times New Roman" w:hAnsi="Times New Roman" w:cs="Times New Roman"/>
          <w:sz w:val="24"/>
          <w:szCs w:val="24"/>
          <w:lang w:eastAsia="ru-RU"/>
        </w:rPr>
        <w:t xml:space="preserve"> как сбор эмпирических фактов в данной области, так и их анализ, интерпретацию, выявление существенных тенденций и закономерностей, выработку прогнозов и рекомендаций. Достигнутый сегодня в Республике Татарстан уровень развития социального прогнозирования является </w:t>
      </w:r>
      <w:proofErr w:type="spellStart"/>
      <w:proofErr w:type="gramStart"/>
      <w:r w:rsidRPr="00351E64">
        <w:rPr>
          <w:rFonts w:ascii="Times New Roman" w:eastAsia="Times New Roman" w:hAnsi="Times New Roman" w:cs="Times New Roman"/>
          <w:sz w:val="24"/>
          <w:szCs w:val="24"/>
          <w:lang w:eastAsia="ru-RU"/>
        </w:rPr>
        <w:t>преимущест-венно</w:t>
      </w:r>
      <w:proofErr w:type="spellEnd"/>
      <w:proofErr w:type="gramEnd"/>
      <w:r w:rsidRPr="00351E64">
        <w:rPr>
          <w:rFonts w:ascii="Times New Roman" w:eastAsia="Times New Roman" w:hAnsi="Times New Roman" w:cs="Times New Roman"/>
          <w:sz w:val="24"/>
          <w:szCs w:val="24"/>
          <w:lang w:eastAsia="ru-RU"/>
        </w:rPr>
        <w:t xml:space="preserve"> описательным, он способен скорее констатировать наличие каких-либо явлений, определенной связи между ними, но часто оказывается не совсем достаточным для выявления существенных причинно-следственных связей между ними.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При проведении социологического исследования проблем социально незащищенных социальных групп населения РТ в объекте исследования (население Республики Татарстан) были выделены в качестве основных групп исследования три: лица пожилого возраста - названные в исследовании "пенсионеры"; лица с ограниченными возможностями - названные в исследовании "инвалиды"; многодетные семьи - "семьи с детьми". Некоторыми выводами исследования авторы хотели бы поделиться.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Первоначальная гипотеза о невысокой оценке собственных возможностей в формировании позитивного жизненного сценария у представителей социально незащищенных групп населения не подтвердилась. Представители исследуемых социальных групп - пенсионеров, инвалидов, многодетных семей - достаточно четко осознают собственную значимость и ответственность в создании достойной жизни, достаточно уверены в собственных возможностях. Всего 55,5% респондентов уверены в собственной роли в создании успешной жизни и 19,17% предполагают, что это возможно.</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xml:space="preserve">Фактором реализации жизненных планов и важнейшей предпосылкой жизненного успеха представители всех социальных групп исследования единодушно и безоговорочно считают здоровье. "Внешние" - объективные факторы, не зависящие от самого человека (помощь государства, друзей, любимых), занимают последние ранги. На первом месте представителями всех социальных групп указаны "внутренние" - субъективные факторы, зависящие от самого человека (здоровье, профессионализм, удача). В целом по массиву почти половина опрошенных - 46,17% напрямую связывают жизненный успех с получением высшего образования. Показателями жизненного успеха "хорошей жизни" опрошенные прежде всего считают здоровье и материальную обеспеченность, важно наличие хорошей семьи и детей, хорошей работы, хороших жилищных условий. Достижение высокого социального статуса, социального признания профессиональных заслуг не является показателем "хорошей жизни" для исследуемых групп. С точки зрения пирамиды потребностей </w:t>
      </w:r>
      <w:proofErr w:type="spellStart"/>
      <w:r w:rsidRPr="00351E64">
        <w:rPr>
          <w:rFonts w:ascii="Times New Roman" w:eastAsia="Times New Roman" w:hAnsi="Times New Roman" w:cs="Times New Roman"/>
          <w:sz w:val="24"/>
          <w:szCs w:val="24"/>
          <w:lang w:eastAsia="ru-RU"/>
        </w:rPr>
        <w:t>А.Маслоу</w:t>
      </w:r>
      <w:proofErr w:type="spellEnd"/>
      <w:r w:rsidRPr="00351E64">
        <w:rPr>
          <w:rFonts w:ascii="Times New Roman" w:eastAsia="Times New Roman" w:hAnsi="Times New Roman" w:cs="Times New Roman"/>
          <w:sz w:val="24"/>
          <w:szCs w:val="24"/>
          <w:lang w:eastAsia="ru-RU"/>
        </w:rPr>
        <w:t xml:space="preserve">, вся картина </w:t>
      </w:r>
      <w:proofErr w:type="gramStart"/>
      <w:r w:rsidRPr="00351E64">
        <w:rPr>
          <w:rFonts w:ascii="Times New Roman" w:eastAsia="Times New Roman" w:hAnsi="Times New Roman" w:cs="Times New Roman"/>
          <w:sz w:val="24"/>
          <w:szCs w:val="24"/>
          <w:lang w:eastAsia="ru-RU"/>
        </w:rPr>
        <w:t>социальных притязаний</w:t>
      </w:r>
      <w:proofErr w:type="gramEnd"/>
      <w:r w:rsidRPr="00351E64">
        <w:rPr>
          <w:rFonts w:ascii="Times New Roman" w:eastAsia="Times New Roman" w:hAnsi="Times New Roman" w:cs="Times New Roman"/>
          <w:sz w:val="24"/>
          <w:szCs w:val="24"/>
          <w:lang w:eastAsia="ru-RU"/>
        </w:rPr>
        <w:t xml:space="preserve"> исследуемых вписывается в показатели нижнего пятого уровня пирамиды потребностей и лишь частично связана с параметрами четвертого уровня.</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Можно совершенно определенно утверждать, что в данном случае формирование жизненного сценария осуществляется по традиционному типу - подавляющее влияние оказывают семья и близкородственное социальное окружение. Больше половины опрошенных считают, что честным трудом успеха не добьешься. Только немногие считают возможным достижение высокого положения в обществе благодаря добросовестному труду. По группам наиболее категоричны представители социальной группы "инвалидов" - отрицают нормативно одобряемые средства достижения успеха 61% опрошенных.</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 сожалению, приходится констатировать негативную направленность социального самочувствия представителей исследуемых социальных групп населения. Считает, что жизнь за последний год ухудшилась, каждый третий из опрошенных по массиву (от 27% опрошенных по группе "пенсионеры" до 36% респондентов по группе "семьи"). Считают, что жизнь "стала лучше", 18,17% опрошенных по массиву (от 16,5% по группе "инвалиды" до 20% по группе "семьи"). Социальное самочувствие связано не только с величиной дохода, но с соответствием дохода, человека его потребностям и представлениям о достойной жизни. Относительно наибольшее количество опрошенных считают, что их жизнь за последний год не изменилась, это: 39,33% опрошенных по массиву, по группе "пенсионеры" так считают 43% опрошенных, по группе "семьи" - 34% опрошенных.</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Выявлена достаточно высокая степень религиозности представителей всех исследуемых групп. Помимо общей тенденции социокультурного процесса последнего десятилетия - возвращения к традиционным нравственным ценностям, процессов </w:t>
      </w:r>
      <w:proofErr w:type="spellStart"/>
      <w:r w:rsidRPr="00351E64">
        <w:rPr>
          <w:rFonts w:ascii="Times New Roman" w:eastAsia="Times New Roman" w:hAnsi="Times New Roman" w:cs="Times New Roman"/>
          <w:sz w:val="24"/>
          <w:szCs w:val="24"/>
          <w:lang w:eastAsia="ru-RU"/>
        </w:rPr>
        <w:t>этноконфессиональной</w:t>
      </w:r>
      <w:proofErr w:type="spellEnd"/>
      <w:r w:rsidRPr="00351E64">
        <w:rPr>
          <w:rFonts w:ascii="Times New Roman" w:eastAsia="Times New Roman" w:hAnsi="Times New Roman" w:cs="Times New Roman"/>
          <w:sz w:val="24"/>
          <w:szCs w:val="24"/>
          <w:lang w:eastAsia="ru-RU"/>
        </w:rPr>
        <w:t xml:space="preserve"> </w:t>
      </w:r>
      <w:proofErr w:type="spellStart"/>
      <w:r w:rsidRPr="00351E64">
        <w:rPr>
          <w:rFonts w:ascii="Times New Roman" w:eastAsia="Times New Roman" w:hAnsi="Times New Roman" w:cs="Times New Roman"/>
          <w:sz w:val="24"/>
          <w:szCs w:val="24"/>
          <w:lang w:eastAsia="ru-RU"/>
        </w:rPr>
        <w:t>самоэдентификации</w:t>
      </w:r>
      <w:proofErr w:type="spellEnd"/>
      <w:r w:rsidRPr="00351E64">
        <w:rPr>
          <w:rFonts w:ascii="Times New Roman" w:eastAsia="Times New Roman" w:hAnsi="Times New Roman" w:cs="Times New Roman"/>
          <w:sz w:val="24"/>
          <w:szCs w:val="24"/>
          <w:lang w:eastAsia="ru-RU"/>
        </w:rPr>
        <w:t>, обретения национального и культурного самосознания - как видно из ответов респондентов, им часто больше не на кого надеяться. Ни помощь государства, ни помощь близких и родных, по мнению исследуемых, не может кардинально изменить ситуацию.</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"Инвалиды" - единственная социальная группа исследования, среди представителей которой количество опрошенных, испытывающих гордость за свою страну, - 29%, превышает количество ответивших "нет" - 27,5%. Среди представителей остальных социальных групп преобладает иное мнение: по массиву только 23,3% опрошенных испытывают чувство гордости за страну, 30,5%: не испытывают чувства гордости, 45,17% затрудняются в определении своего отношения к собственной стране. Гендерный аспект данного исследования связан с изучением мнений представителей социально незащищенных групп населения о перспективах трудоустройства. В очередной раз подтвердили традиционные этнокультурные представления, распространенные в регионе, о лидирующей роли мужчины в обществе - 39,3% по массиву считают, что мужчины имеют преимущественные шансы при трудоустройстве, и только 2% опрошенных считают, что женщины (по группам принципиальных расхождений во мнениях по этому вопросу нет). Среди занятий, в которых, по мнению исследуемых, ни у кого нет преимуществ и у всех равные шансы иметь успех (и у лиц с ограниченными возможностями, и у иных категорий граждан), на первом месте по массиву и по группам-воспитание детей (от 38% до 45,5%). Второе место по массиву и по двум группам из трех заняли работа на компьютере - 32,83% по массиву (от 25% до 43% по группам) и занятия домашним хозяйством (от 27% до 31% по группам).</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Несмотря на сложность жизненной ситуации и прочие объективные факторы, в целом позитивны социальные ожидания для своих детей у 56,3% респондентов по массиву - это свыше половины исследуемого социума. Причем относительно выше показатели позитивности у социальной группы "пенсионеры" - 58%, у этой же социальной группы более низок процент респондентов с негативными социальными ожиданиями - их 13%. Негативные социальные ожидания связаны с факторами угроз, главные из которых одинаковы в представлении разных социальных групп исследования, - это факторы, одинаковые для всех трех социальных групп исследования: "болезни", "ухудшение материального положения", "война".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tbl>
      <w:tblPr>
        <w:tblW w:w="11655" w:type="dxa"/>
        <w:tblCellSpacing w:w="15" w:type="dxa"/>
        <w:tblCellMar>
          <w:top w:w="15" w:type="dxa"/>
          <w:left w:w="15" w:type="dxa"/>
          <w:bottom w:w="15" w:type="dxa"/>
          <w:right w:w="15" w:type="dxa"/>
        </w:tblCellMar>
        <w:tblLook w:val="04A0" w:firstRow="1" w:lastRow="0" w:firstColumn="1" w:lastColumn="0" w:noHBand="0" w:noVBand="1"/>
      </w:tblPr>
      <w:tblGrid>
        <w:gridCol w:w="11655"/>
      </w:tblGrid>
      <w:tr w:rsidR="00351E64" w:rsidRPr="00351E64" w:rsidTr="00351E64">
        <w:trPr>
          <w:trHeight w:val="3600"/>
          <w:tblCellSpacing w:w="15" w:type="dxa"/>
        </w:trPr>
        <w:tc>
          <w:tcPr>
            <w:tcW w:w="0" w:type="auto"/>
            <w:vAlign w:val="center"/>
            <w:hideMark/>
          </w:tcPr>
          <w:p w:rsidR="00351E64" w:rsidRPr="00351E64" w:rsidRDefault="00351E64" w:rsidP="00351E64">
            <w:pPr>
              <w:spacing w:after="0"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noProof/>
                <w:sz w:val="24"/>
                <w:szCs w:val="24"/>
                <w:lang w:eastAsia="ru-RU"/>
              </w:rPr>
              <mc:AlternateContent>
                <mc:Choice Requires="wps">
                  <w:drawing>
                    <wp:inline distT="0" distB="0" distL="0" distR="0" wp14:anchorId="12A2AF73" wp14:editId="297D6F5E">
                      <wp:extent cx="4203700" cy="2018665"/>
                      <wp:effectExtent l="0" t="0" r="0" b="0"/>
                      <wp:docPr id="4" name="AutoShape 4" descr="http://old.tisbi.ru/science/vestnik/2001/issue1/images/Diagr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3700" cy="201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07FB8" id="AutoShape 4" o:spid="_x0000_s1026" alt="http://old.tisbi.ru/science/vestnik/2001/issue1/images/Diagr1.gif" style="width:331pt;height:1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3z5wIAAAMGAAAOAAAAZHJzL2Uyb0RvYy54bWysVNtymzAQfe9M/0Gjd8wl8gUmOJMY0+lM&#10;2mYm7QfIIEATkKgkG6ed/ntXwnbspE9teQBpJXbP7jm71zf7rkU7pjSXIsXhJMCIiUKWXNQp/vY1&#10;9xYYaUNFSVspWIqfmcY3y/fvroc+YZFsZFsyhcCJ0MnQp7gxpk98XxcN66ieyJ4JOKyk6qiBrar9&#10;UtEBvHetHwXBzB+kKnslC6Y1WLPxEC+d/6pihflSVZoZ1KYYsBn3Vu69sW9/eU2TWtG+4cUBBv0L&#10;FB3lAoKeXGXUULRV/I2rjhdKalmZSSE7X1YVL5jLAbIJg1fZPDa0Zy4XKI7uT2XS/89t8Xn3oBAv&#10;U0wwErQDim63RrrICEwl0wWU60ALsDUxXG/4RG2BIw5UM3/HtBH8ydIR+lzrLYNPR2um/YzTWoWT&#10;mle20EOvE4j32D8oWyrd38viSSMhVw0VNbvVPdAFIgIgR5NScmgYLSHj0LrwL3zYjQZvaDN8kiVA&#10;pwDd0bCvVGdjQIHR3rH9fGKb7Q0qwEii4GoegCgKOIPqL2azqYtBk+PvvdLmA5MdsosUK8Dn3NPd&#10;vTYWDk2OV2w0IXPetk5SrbgwwMXRAsHhV3tmYTiF/IyDeL1YL4hHotnaI0GWebf5inizPJxPs6ts&#10;tcrCXzZuSJKGlyUTNsxRrSE50XPsmj+K7NA3o85OetWy5aV1ZyFpVW9WrUI7Ct2Su+dQkLNr/iUM&#10;VwTI5VVKYUSCuyj28tli7pGcTL14Hiy8IIzv4llAYpLllyndc8H+PSU0pDieRlPH0hnoV7kF7nmb&#10;G006bmAetbxL8eJ0iSZWg2tROmoN5e24PiuFhf9SCqD7SLRTrBXpqP+NLJ9BsEqCnEB6MDlh0Uj1&#10;A6MBplCK9fctVQyj9qMA0cchIXZsuQ2ZziPYqPOTzfkJFQW4SrHBaFyuzDjqtr3idQORQlcYIW2P&#10;V9xJ2DbRiOrQXjBpXCaHqWhH2fne3XqZ3cvfAAAA//8DAFBLAwQUAAYACAAAACEAUabivt0AAAAF&#10;AQAADwAAAGRycy9kb3ducmV2LnhtbEyPQUvDQBCF70L/wzIFL2I3rRA1ZlNKQSwiFFPteZsdk9Ds&#10;bJrdJvHfO/WilwePN7z3TbocbSN67HztSMF8FoFAKpypqVTwsXu+fQDhgyajG0eo4Bs9LLPJVaoT&#10;4wZ6xz4PpeAS8olWUIXQJlL6okKr/cy1SJx9uc7qwLYrpen0wOW2kYsoiqXVNfFCpVtcV1gc87NV&#10;MBTbfr97e5Hbm/3G0WlzWuefr0pdT8fVE4iAY/g7hgs+o0PGTAd3JuNFo4AfCb/KWRwv2B4U3M3v&#10;H0FmqfxPn/0AAAD//wMAUEsBAi0AFAAGAAgAAAAhALaDOJL+AAAA4QEAABMAAAAAAAAAAAAAAAAA&#10;AAAAAFtDb250ZW50X1R5cGVzXS54bWxQSwECLQAUAAYACAAAACEAOP0h/9YAAACUAQAACwAAAAAA&#10;AAAAAAAAAAAvAQAAX3JlbHMvLnJlbHNQSwECLQAUAAYACAAAACEAjGvd8+cCAAADBgAADgAAAAAA&#10;AAAAAAAAAAAuAgAAZHJzL2Uyb0RvYy54bWxQSwECLQAUAAYACAAAACEAUabivt0AAAAFAQAADwAA&#10;AAAAAAAAAAAAAABBBQAAZHJzL2Rvd25yZXYueG1sUEsFBgAAAAAEAAQA8wAAAEsGAAAAAA==&#10;" filled="f" stroked="f">
                      <o:lock v:ext="edit" aspectratio="t"/>
                      <w10:anchorlock/>
                    </v:rect>
                  </w:pict>
                </mc:Fallback>
              </mc:AlternateContent>
            </w:r>
          </w:p>
        </w:tc>
      </w:tr>
    </w:tbl>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Исследование показало, что нельзя разделить наиболее значимые факторы социальных опасений по признаку объективности и </w:t>
      </w:r>
      <w:proofErr w:type="spellStart"/>
      <w:r w:rsidRPr="00351E64">
        <w:rPr>
          <w:rFonts w:ascii="Times New Roman" w:eastAsia="Times New Roman" w:hAnsi="Times New Roman" w:cs="Times New Roman"/>
          <w:sz w:val="24"/>
          <w:szCs w:val="24"/>
          <w:lang w:eastAsia="ru-RU"/>
        </w:rPr>
        <w:t>субьективности</w:t>
      </w:r>
      <w:proofErr w:type="spellEnd"/>
      <w:r w:rsidRPr="00351E64">
        <w:rPr>
          <w:rFonts w:ascii="Times New Roman" w:eastAsia="Times New Roman" w:hAnsi="Times New Roman" w:cs="Times New Roman"/>
          <w:sz w:val="24"/>
          <w:szCs w:val="24"/>
          <w:lang w:eastAsia="ru-RU"/>
        </w:rPr>
        <w:t xml:space="preserve"> причины угрозы, отношения ее к сфере макро- и микромира. </w:t>
      </w:r>
      <w:proofErr w:type="spellStart"/>
      <w:r w:rsidRPr="00351E64">
        <w:rPr>
          <w:rFonts w:ascii="Times New Roman" w:eastAsia="Times New Roman" w:hAnsi="Times New Roman" w:cs="Times New Roman"/>
          <w:sz w:val="24"/>
          <w:szCs w:val="24"/>
          <w:lang w:eastAsia="ru-RU"/>
        </w:rPr>
        <w:t>Респонеденты</w:t>
      </w:r>
      <w:proofErr w:type="spellEnd"/>
      <w:r w:rsidRPr="00351E64">
        <w:rPr>
          <w:rFonts w:ascii="Times New Roman" w:eastAsia="Times New Roman" w:hAnsi="Times New Roman" w:cs="Times New Roman"/>
          <w:sz w:val="24"/>
          <w:szCs w:val="24"/>
          <w:lang w:eastAsia="ru-RU"/>
        </w:rPr>
        <w:t xml:space="preserve"> одинаково боятся или одинаково мало уделяют </w:t>
      </w:r>
      <w:r w:rsidRPr="00351E64">
        <w:rPr>
          <w:rFonts w:ascii="Times New Roman" w:eastAsia="Times New Roman" w:hAnsi="Times New Roman" w:cs="Times New Roman"/>
          <w:sz w:val="24"/>
          <w:szCs w:val="24"/>
          <w:lang w:eastAsia="ru-RU"/>
        </w:rPr>
        <w:lastRenderedPageBreak/>
        <w:t xml:space="preserve">значения и некоторым факторам глобальных угроз и межличностных отношений, мира внутренних </w:t>
      </w:r>
      <w:proofErr w:type="spellStart"/>
      <w:r w:rsidRPr="00351E64">
        <w:rPr>
          <w:rFonts w:ascii="Times New Roman" w:eastAsia="Times New Roman" w:hAnsi="Times New Roman" w:cs="Times New Roman"/>
          <w:sz w:val="24"/>
          <w:szCs w:val="24"/>
          <w:lang w:eastAsia="ru-RU"/>
        </w:rPr>
        <w:t>периживаний</w:t>
      </w:r>
      <w:proofErr w:type="spellEnd"/>
      <w:r w:rsidRPr="00351E64">
        <w:rPr>
          <w:rFonts w:ascii="Times New Roman" w:eastAsia="Times New Roman" w:hAnsi="Times New Roman" w:cs="Times New Roman"/>
          <w:sz w:val="24"/>
          <w:szCs w:val="24"/>
          <w:lang w:eastAsia="ru-RU"/>
        </w:rPr>
        <w:t>.</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Как и предполагалось, социальные опасения представителей всех групп исследования более всего связаны с болезнью (своей или близких), этот фактор лидирует и по массиву - его указали 70,5% респондентов, и по группам - от 68% в группе "пенсионеры", до 73% в группе "инвалиды". Вторым по значимости фактором социальных опасений и по массиву, и по группам названо "ухудшение материального положения"; значение фактора - от 59% в группе "семьи" до 72.5% в группе. Среди факторов тревожности, которым придается опрошенными наименьшее значение - "сексуальное насилие", "революции", "смена курса правительства", "террористические акты".</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Менее всего исследуемые опасаются "сексуального насилия" - 2% по массиву и около 2% по группам исследования. Также наименьшие социальные опасения респондентов связаны с возможностью революции или смены курса правительства - это 4% по массиву и от 0,55% по группе "семья" до 7,5% в группе "пенсионеры". Несмотря на учащающиеся сообщения в прессе о </w:t>
      </w:r>
      <w:proofErr w:type="spellStart"/>
      <w:r w:rsidRPr="00351E64">
        <w:rPr>
          <w:rFonts w:ascii="Times New Roman" w:eastAsia="Times New Roman" w:hAnsi="Times New Roman" w:cs="Times New Roman"/>
          <w:sz w:val="24"/>
          <w:szCs w:val="24"/>
          <w:lang w:eastAsia="ru-RU"/>
        </w:rPr>
        <w:t>террактах</w:t>
      </w:r>
      <w:proofErr w:type="spellEnd"/>
      <w:r w:rsidRPr="00351E64">
        <w:rPr>
          <w:rFonts w:ascii="Times New Roman" w:eastAsia="Times New Roman" w:hAnsi="Times New Roman" w:cs="Times New Roman"/>
          <w:sz w:val="24"/>
          <w:szCs w:val="24"/>
          <w:lang w:eastAsia="ru-RU"/>
        </w:rPr>
        <w:t>, террористах, возможной угрозе террористических актов по стране, эта угроза не названа жителями республики в качестве первоочередной, что, на наш взгляд, является важным. Даже экологической катастрофы, загрязнения окружающей среды и возможности заболевания СПИДом опрошенные опасаются более.</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Можно с оговорками сделать вывод, что ни любовь, ни общение, ни религия, ни здоровье и т.д. не являются теми сферами, с которыми связаны радостные воспоминания или мысли. "Пенсионеры" - социальная группа исследования, в которой только 8% пожелали ответить на этот вопрос, т.е. только один из двенадцати считает, что ему в жизни повезло хоть в чем-то. Среди группы исследования "инвалиды" - 12,5% опрошенных указали, что им повезло. Охотнее всех ответили на этот вопрос респонденты из социальной группы "семья" - их около 45%, из которых 40% считают, что им в чем-либо повезло.</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Традиционные особенности национального менталитета, повлиявшего на формирование особой культуры и этикета межличностных коммуникаций в регионе, характерного для представителей всех национальностей, традиционно проживающих в республике, сформировали в качестве социальной нормы умение подчеркнуто вежливо и дружелюбно относиться к окружающим. Традиционно это считается неотъемлемой чертой каждого воспитанного человека. Причем среди 97,8% опрошенных, в целом позитивно воспринимающих свое ближнее и дальнее социальное окружение, 84,2% респондентов отмечают наличие определенного круга лиц, к которым они испытывают теплые дружеские чувства. Среди молодежи, естественно, распространены разные модели межличностного общения, но люди старшего поколения сохраняют традиции искусства беседы, общения с соседями, родственниками, просто знакомыми. Проблема наркомании не является первоочередной проблемой представителей социально </w:t>
      </w:r>
      <w:proofErr w:type="spellStart"/>
      <w:r w:rsidRPr="00351E64">
        <w:rPr>
          <w:rFonts w:ascii="Times New Roman" w:eastAsia="Times New Roman" w:hAnsi="Times New Roman" w:cs="Times New Roman"/>
          <w:sz w:val="24"/>
          <w:szCs w:val="24"/>
          <w:lang w:eastAsia="ru-RU"/>
        </w:rPr>
        <w:t>малозащищенных</w:t>
      </w:r>
      <w:proofErr w:type="spellEnd"/>
      <w:r w:rsidRPr="00351E64">
        <w:rPr>
          <w:rFonts w:ascii="Times New Roman" w:eastAsia="Times New Roman" w:hAnsi="Times New Roman" w:cs="Times New Roman"/>
          <w:sz w:val="24"/>
          <w:szCs w:val="24"/>
          <w:lang w:eastAsia="ru-RU"/>
        </w:rPr>
        <w:t xml:space="preserve"> социальных групп населения республики.</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Свободное время опрошенные в основной массе (51,7%) проводят у телевизора. Достаточно выражены и сохранены ориентации респондентов на занятия чтением (28,6% по массиву - от 24,5% в группе "семьи" до 34,5% в группе "инвалиды") и на межличностное общение. На отсутствие свободного времени указали 13,0% респондентов по массиву (до 16,5% по группе). Практически отсутствуют возможности у представителей исследуемых групп для посещения театров, музеев, библиотек (0,83% опрошенных по массиву), а также для занятий творчеством (0,67%). Данные социологического исследования трех, выделенных в качестве основных, социальных групп исследования дают возможность выявлять массовые оценки, настроения, ожидания населения и в последующем отслеживать их изменения.</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pStyle w:val="a3"/>
        <w:jc w:val="center"/>
      </w:pPr>
      <w:r>
        <w:rPr>
          <w:rStyle w:val="a4"/>
        </w:rPr>
        <w:lastRenderedPageBreak/>
        <w:t>К ПРОБЛЕМЕ РЕАБИЛИТАЦИИ ИНВАЛИДОВ</w:t>
      </w:r>
    </w:p>
    <w:p w:rsidR="00351E64" w:rsidRDefault="00351E64" w:rsidP="00351E64">
      <w:pPr>
        <w:pStyle w:val="a3"/>
        <w:jc w:val="center"/>
      </w:pPr>
    </w:p>
    <w:p w:rsidR="00351E64" w:rsidRDefault="00351E64" w:rsidP="00351E64">
      <w:pPr>
        <w:pStyle w:val="a3"/>
        <w:jc w:val="center"/>
      </w:pPr>
      <w:r>
        <w:rPr>
          <w:rStyle w:val="a4"/>
        </w:rPr>
        <w:t xml:space="preserve">И.В. </w:t>
      </w:r>
      <w:proofErr w:type="spellStart"/>
      <w:r>
        <w:rPr>
          <w:rStyle w:val="a4"/>
        </w:rPr>
        <w:t>Мкртумова</w:t>
      </w:r>
      <w:proofErr w:type="spellEnd"/>
      <w:r>
        <w:rPr>
          <w:rStyle w:val="a4"/>
        </w:rPr>
        <w:t xml:space="preserve">, А.И. </w:t>
      </w:r>
      <w:proofErr w:type="spellStart"/>
      <w:r>
        <w:rPr>
          <w:rStyle w:val="a4"/>
        </w:rPr>
        <w:t>Мухлаева</w:t>
      </w:r>
      <w:proofErr w:type="spellEnd"/>
      <w:r>
        <w:rPr>
          <w:rStyle w:val="a4"/>
        </w:rPr>
        <w:t xml:space="preserve">, ТИСБИ </w:t>
      </w:r>
    </w:p>
    <w:p w:rsidR="00351E64" w:rsidRDefault="00351E64" w:rsidP="00351E64">
      <w:pPr>
        <w:pStyle w:val="a3"/>
        <w:jc w:val="center"/>
      </w:pPr>
    </w:p>
    <w:p w:rsidR="00351E64" w:rsidRDefault="00351E64" w:rsidP="00351E64">
      <w:pPr>
        <w:pStyle w:val="a3"/>
        <w:jc w:val="both"/>
      </w:pPr>
      <w:r>
        <w:t xml:space="preserve">Гарантией равенства прав и возможностей в реализации потенциальных способностей и индивидуальных ресурсов каждого индивида является социальная политика, ориентированная на социальную справедливость и наиболее полное удовлетворение реальных нужд и потребностей населения. Одним из теоретических подходов к </w:t>
      </w:r>
      <w:proofErr w:type="spellStart"/>
      <w:r>
        <w:t>гуманизации</w:t>
      </w:r>
      <w:proofErr w:type="spellEnd"/>
      <w:r>
        <w:t xml:space="preserve"> социальной политики является "концепция независимой жизни людей, имеющих инвалидность", - движение неправительственных организаций США, Канады и Западной Европы за гражданские права этой группы населения. Основоположником движения явилась группа студентов Университета Беркли (Калифорния), имеющих инвалидность, во главе с Эдом Робертсом, лидером, которого полиомиелит приковал к инвалидной коляске с детства.</w:t>
      </w:r>
    </w:p>
    <w:p w:rsidR="00351E64" w:rsidRDefault="00351E64" w:rsidP="00351E64">
      <w:pPr>
        <w:pStyle w:val="a3"/>
        <w:jc w:val="both"/>
      </w:pPr>
      <w:r>
        <w:t> </w:t>
      </w:r>
    </w:p>
    <w:p w:rsidR="00351E64" w:rsidRDefault="00351E64" w:rsidP="00351E64">
      <w:pPr>
        <w:pStyle w:val="a3"/>
        <w:jc w:val="both"/>
      </w:pPr>
      <w:r>
        <w:t>В рамках данной концепции принципом формирования социальной политики является рассмотрение инвалидности не столько в аспекте медицинских патологий, но с точки зрения ограничений в возможностях (социализация с компенсаторным использованием иных агентов).</w:t>
      </w:r>
    </w:p>
    <w:p w:rsidR="00351E64" w:rsidRDefault="00351E64" w:rsidP="00351E64">
      <w:pPr>
        <w:pStyle w:val="a3"/>
        <w:jc w:val="both"/>
      </w:pPr>
      <w:r>
        <w:t> </w:t>
      </w:r>
    </w:p>
    <w:p w:rsidR="00351E64" w:rsidRDefault="00351E64" w:rsidP="00351E64">
      <w:pPr>
        <w:pStyle w:val="a3"/>
        <w:jc w:val="both"/>
      </w:pPr>
      <w:r>
        <w:t xml:space="preserve">Социальные службы должны компенсировать эти ограничения и создать для лиц с ограниченными возможностями равные условия для участия в </w:t>
      </w:r>
      <w:proofErr w:type="spellStart"/>
      <w:r>
        <w:t>общественнополезной</w:t>
      </w:r>
      <w:proofErr w:type="spellEnd"/>
      <w:r>
        <w:t xml:space="preserve"> деятельности. Авторы считают перспективной и дающей богатые возможности для разработки моделей компенсаторной социализации предложенную Ким Е.Н. классификацию моделей инвалидности, состоящую из четырех составляющих.</w:t>
      </w:r>
    </w:p>
    <w:p w:rsidR="00351E64" w:rsidRDefault="00351E64" w:rsidP="00351E64">
      <w:pPr>
        <w:pStyle w:val="a3"/>
        <w:jc w:val="both"/>
      </w:pPr>
      <w:r>
        <w:t> </w:t>
      </w:r>
    </w:p>
    <w:p w:rsidR="00351E64" w:rsidRDefault="00351E64" w:rsidP="00351E64">
      <w:pPr>
        <w:pStyle w:val="a3"/>
        <w:jc w:val="both"/>
      </w:pPr>
      <w:r>
        <w:t xml:space="preserve">Медицинская модель инвалидности рассматривает инвалидность как недуг, заболевание, дефект психологический, физиологический, анатомический (хронический или временный) и определяет группу инвалидности, исходя из степени потери трудоспособности. Основным методом решения проблем инвалидности является реабилитационный. Социальная модель инвалидности, определяет инвалидность как ограничение жизнедеятельности и рассматривает ее в свете сохранения инвалидом способности социально функционировать. Решение проблемы инвалидности сводится к созданию системы социальных услуг, имеющих обслуживающий и </w:t>
      </w:r>
      <w:proofErr w:type="spellStart"/>
      <w:r>
        <w:t>патронизирующий</w:t>
      </w:r>
      <w:proofErr w:type="spellEnd"/>
      <w:r>
        <w:t xml:space="preserve"> характер.</w:t>
      </w:r>
    </w:p>
    <w:p w:rsidR="00351E64" w:rsidRDefault="00351E64" w:rsidP="00351E64">
      <w:pPr>
        <w:pStyle w:val="a3"/>
        <w:jc w:val="both"/>
      </w:pPr>
      <w:r>
        <w:t> </w:t>
      </w:r>
    </w:p>
    <w:p w:rsidR="00351E64" w:rsidRDefault="00351E64" w:rsidP="00351E64">
      <w:pPr>
        <w:pStyle w:val="a3"/>
        <w:jc w:val="both"/>
      </w:pPr>
      <w:r>
        <w:t xml:space="preserve">Политико-правовая модель трактует инвалидность как ограничение (врожденное или приобретенное) в возможностях и рассматривает людей, имеющих инвалидность, как меньшинство, имеющее право на равенство и свободу. Равноправие в участии во всех аспектах жизни общества и свобода выбора этого меньшинства обеспечиваются социальной политикой, направленной на стандартизацию норм жизнедеятельности </w:t>
      </w:r>
      <w:r>
        <w:lastRenderedPageBreak/>
        <w:t>человека, создание социальных служб, выравнивающих ограниченные возможности, изменение окружающей среды и общественного сознания.</w:t>
      </w:r>
    </w:p>
    <w:p w:rsidR="00351E64" w:rsidRDefault="00351E64" w:rsidP="00351E64">
      <w:pPr>
        <w:pStyle w:val="a3"/>
        <w:jc w:val="both"/>
      </w:pPr>
      <w:r>
        <w:t> </w:t>
      </w:r>
    </w:p>
    <w:p w:rsidR="00351E64" w:rsidRDefault="00351E64" w:rsidP="00351E64">
      <w:pPr>
        <w:pStyle w:val="a3"/>
        <w:jc w:val="both"/>
      </w:pPr>
      <w:r>
        <w:t xml:space="preserve">Культурный плюрализм, рассматривающий человека с точки зрения его уникальности как личности, имеющей положительное значение для развития общества. Инвалидность в этой модели трактуется как культурное отличие наравне с различиями в цвете кожи, вероисповедании, традициях. В обществе для каждого его члена, включая и человека в инвалидной коляске, должны быть созданы равные условия для развития и реализации потенциальных способностей и талантов. Социальная защита инвалидов на практике часто сводится к созданию системы надомных услуг, надомной работы или специализированных предприятий, </w:t>
      </w:r>
      <w:proofErr w:type="spellStart"/>
      <w:r>
        <w:t>интернатных</w:t>
      </w:r>
      <w:proofErr w:type="spellEnd"/>
      <w:r>
        <w:t xml:space="preserve"> учебных заведений и </w:t>
      </w:r>
      <w:proofErr w:type="spellStart"/>
      <w:r>
        <w:t>медикализированных</w:t>
      </w:r>
      <w:proofErr w:type="spellEnd"/>
      <w:r>
        <w:t xml:space="preserve"> реабилитационных центров, что, в конечном результате сокращает поле применения сил для лиц с ограниченными возможностями и дискриминации их права на свободу выбора и самоопределение.</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lastRenderedPageBreak/>
        <w:t xml:space="preserve">КЛЮЧЕВЫЕ КОМПЕТЕНЦИИ КАК КОМПОНЕНТА МОДЕЛИ СПЕЦИАЛИСТА </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t xml:space="preserve">З.Н. Сафина, доцент ТИСБИ </w:t>
      </w:r>
    </w:p>
    <w:p w:rsidR="00351E64" w:rsidRPr="00351E64" w:rsidRDefault="00351E64" w:rsidP="00351E6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Многоплановость и противоречивость социальной действительности предполагают соответствующее реагирование системы образования в вопросах формирования личности и подготовки специалистов. Этот процесс не может быть конструирован в жестких рамках, характеристиках. Тем не менее он должен опираться на знание модели специалиста.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 литературе термин "модель" чаще всего трактуется как образ, аналог или описание какого-либо процесса. Понятие это является емким и многообразным. Отечественные ученые называют различные параметры модели специалиста, степени воздействия условий и факторов на ее формирование. Различают модель специалиста и модель подготовки специалиста, модели учебной и познавательной деятельности по овладению профессией, формы связи с производством, квалификационные характеристики специалиста. В качестве объектов исследования часто выделяются способы определения модели специалиста.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Не вдаваясь в подробности описания модели специалиста - выпускника вуза, отметим, что сегодня, в основном, она, выстраивается на основании Государственного образовательного стандарта и не учитывает объективные факторы быстро развивающегося научно-технического прогресса, воздействия многочисленных экономических, политических, социальных, демографических и других условий. Основным ее недостатком является то, что модель носит описательный характер.</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Постоянно меняющееся общество, непредвиденные ситуации, нарастающий объем информации, непредсказуемость, усложнение отношений между людьми, в самом обществе между различными системами диктуют необходимость разрешения проблемы формирования личности, умеющей жить в этих условиях, разрешать сложнейшие задачи как профессионально, так и личностно значимые. Отечественные ученые все чаще обращаются к вопросам формирования и подготовки </w:t>
      </w:r>
      <w:r w:rsidRPr="00351E64">
        <w:rPr>
          <w:rFonts w:ascii="Times New Roman" w:eastAsia="Times New Roman" w:hAnsi="Times New Roman" w:cs="Times New Roman"/>
          <w:i/>
          <w:iCs/>
          <w:sz w:val="24"/>
          <w:szCs w:val="24"/>
          <w:lang w:eastAsia="ru-RU"/>
        </w:rPr>
        <w:t>специалиста-</w:t>
      </w:r>
      <w:proofErr w:type="spellStart"/>
      <w:r w:rsidRPr="00351E64">
        <w:rPr>
          <w:rFonts w:ascii="Times New Roman" w:eastAsia="Times New Roman" w:hAnsi="Times New Roman" w:cs="Times New Roman"/>
          <w:i/>
          <w:iCs/>
          <w:sz w:val="24"/>
          <w:szCs w:val="24"/>
          <w:lang w:eastAsia="ru-RU"/>
        </w:rPr>
        <w:t>проблемника</w:t>
      </w:r>
      <w:proofErr w:type="spellEnd"/>
      <w:r w:rsidRPr="00351E64">
        <w:rPr>
          <w:rFonts w:ascii="Times New Roman" w:eastAsia="Times New Roman" w:hAnsi="Times New Roman" w:cs="Times New Roman"/>
          <w:sz w:val="24"/>
          <w:szCs w:val="24"/>
          <w:lang w:eastAsia="ru-RU"/>
        </w:rPr>
        <w:t xml:space="preserve"> (5). Модель специалиста должна быть гибкой, динамичной, постоянно корректируемой в связи с изменениями и требованиями к профессии и специальности. "Скорость построения модели должна быть не меньше скорости изменения факторов, ее определяющих". (1, С. 27).</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i/>
          <w:iCs/>
          <w:sz w:val="24"/>
          <w:szCs w:val="24"/>
          <w:lang w:eastAsia="ru-RU"/>
        </w:rPr>
        <w:t>В связи с этим необходимо и целесообразно интерпретировать модель специалиста как гибкую с определенным набором ключевых компетенций личность, способную успешно адаптироваться к постоянно меняющимся условиям жизнедеятельности.</w:t>
      </w:r>
      <w:r w:rsidRPr="00351E64">
        <w:rPr>
          <w:rFonts w:ascii="Times New Roman" w:eastAsia="Times New Roman" w:hAnsi="Times New Roman" w:cs="Times New Roman"/>
          <w:sz w:val="24"/>
          <w:szCs w:val="24"/>
          <w:lang w:eastAsia="ru-RU"/>
        </w:rPr>
        <w:t xml:space="preserve"> Сегодня можно говорить о складывающейся </w:t>
      </w:r>
      <w:r w:rsidRPr="00351E64">
        <w:rPr>
          <w:rFonts w:ascii="Times New Roman" w:eastAsia="Times New Roman" w:hAnsi="Times New Roman" w:cs="Times New Roman"/>
          <w:b/>
          <w:bCs/>
          <w:sz w:val="24"/>
          <w:szCs w:val="24"/>
          <w:lang w:eastAsia="ru-RU"/>
        </w:rPr>
        <w:t>концепции компетенции</w:t>
      </w:r>
      <w:r w:rsidRPr="00351E64">
        <w:rPr>
          <w:rFonts w:ascii="Times New Roman" w:eastAsia="Times New Roman" w:hAnsi="Times New Roman" w:cs="Times New Roman"/>
          <w:sz w:val="24"/>
          <w:szCs w:val="24"/>
          <w:lang w:eastAsia="ru-RU"/>
        </w:rPr>
        <w:t xml:space="preserve">, которая начинает играть существенную роль в решении вопросов профессионального образования и становления современного типа личности. В связи с этим актуально значимыми являются рекомендации </w:t>
      </w:r>
      <w:r w:rsidRPr="00351E64">
        <w:rPr>
          <w:rFonts w:ascii="Times New Roman" w:eastAsia="Times New Roman" w:hAnsi="Times New Roman" w:cs="Times New Roman"/>
          <w:sz w:val="24"/>
          <w:szCs w:val="24"/>
          <w:lang w:eastAsia="ru-RU"/>
        </w:rPr>
        <w:lastRenderedPageBreak/>
        <w:t>Совета Европы по определению пяти групп ключевых отношений, овладение которыми и выступает основным критерием качества образования. Это:</w:t>
      </w:r>
    </w:p>
    <w:p w:rsidR="00351E64" w:rsidRPr="00351E64" w:rsidRDefault="00351E64" w:rsidP="009472CE">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Политические и социальные компетенции, связанные со способностью брать на себя ответственность, участвовать в совместном принятии решений, регулировать конфликты ненасильственным путем, участвовать в функционировании и развитии демократических институтов.</w:t>
      </w:r>
    </w:p>
    <w:p w:rsidR="00351E64" w:rsidRPr="00351E64" w:rsidRDefault="00351E64" w:rsidP="009472CE">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Компетенции, касающиеся жизни в многокультурном обществе. Чтобы препятствовать возникновению расизма и ксенофобии, распространению климата нетерпимости, образование должно "вооружить" молодежь межкультурными компетенциями, такими, как понимание различий, уважение друг друга, способность жить с людьми других культур, языков и религий.</w:t>
      </w:r>
    </w:p>
    <w:p w:rsidR="00351E64" w:rsidRPr="00351E64" w:rsidRDefault="00351E64" w:rsidP="009472CE">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Компетенции, определяющие владение устным и письменным общением, важным в работе и общественной жизни до такой степени, что тем, кто ими не обладает, грозит изоляция от общества. К этой же группе общения относится владение несколькими языками, принимающее всевозрастающее значение.</w:t>
      </w:r>
    </w:p>
    <w:p w:rsidR="00351E64" w:rsidRPr="00351E64" w:rsidRDefault="00351E64" w:rsidP="009472CE">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Компетенции, связанные с возникновением общества информации. Владение новыми технологиями, понимание их применения, их силы и слабости, способность критического отношения к распространяемой по каналам СМИ информации, рекламе.</w:t>
      </w:r>
    </w:p>
    <w:p w:rsidR="00351E64" w:rsidRPr="00351E64" w:rsidRDefault="00351E64" w:rsidP="009472CE">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Компетенции, реализующие способность и желание учиться всю жизнь как основу непрерывной подготовки в профессиональном плане, а также в личной и общественной жизни (7, с. 19).</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Понятие</w:t>
      </w:r>
      <w:r w:rsidRPr="00351E64">
        <w:rPr>
          <w:rFonts w:ascii="Times New Roman" w:eastAsia="Times New Roman" w:hAnsi="Times New Roman" w:cs="Times New Roman"/>
          <w:b/>
          <w:bCs/>
          <w:sz w:val="24"/>
          <w:szCs w:val="24"/>
          <w:lang w:eastAsia="ru-RU"/>
        </w:rPr>
        <w:t xml:space="preserve"> компетенция</w:t>
      </w:r>
      <w:r w:rsidRPr="00351E64">
        <w:rPr>
          <w:rFonts w:ascii="Times New Roman" w:eastAsia="Times New Roman" w:hAnsi="Times New Roman" w:cs="Times New Roman"/>
          <w:sz w:val="24"/>
          <w:szCs w:val="24"/>
          <w:lang w:eastAsia="ru-RU"/>
        </w:rPr>
        <w:t xml:space="preserve"> широко рассматривается как в зарубежной, так и в отечественной научной литературе. Прежде всего, его </w:t>
      </w:r>
      <w:proofErr w:type="gramStart"/>
      <w:r w:rsidRPr="00351E64">
        <w:rPr>
          <w:rFonts w:ascii="Times New Roman" w:eastAsia="Times New Roman" w:hAnsi="Times New Roman" w:cs="Times New Roman"/>
          <w:sz w:val="24"/>
          <w:szCs w:val="24"/>
          <w:lang w:eastAsia="ru-RU"/>
        </w:rPr>
        <w:t>определяют</w:t>
      </w:r>
      <w:proofErr w:type="gramEnd"/>
      <w:r w:rsidRPr="00351E64">
        <w:rPr>
          <w:rFonts w:ascii="Times New Roman" w:eastAsia="Times New Roman" w:hAnsi="Times New Roman" w:cs="Times New Roman"/>
          <w:sz w:val="24"/>
          <w:szCs w:val="24"/>
          <w:lang w:eastAsia="ru-RU"/>
        </w:rPr>
        <w:t xml:space="preserve"> как совокупность знаний, умений и навыков, которые необходимы для выполнения конкретной работы. В данном случае умения рассматриваются как способность и готовность эффективно применять знания на практике, в конкретной ситуации, в профессиональной деятельности, определяемой требованиями должности. Авторы (4) вводят понятие ключевых компетенций как основной образовательный результат. Совокупность ключевых компетенций, по их мнению, включает:</w:t>
      </w:r>
    </w:p>
    <w:p w:rsidR="00351E64" w:rsidRPr="00351E64" w:rsidRDefault="00351E64" w:rsidP="009472C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социальную компетенцию;</w:t>
      </w:r>
    </w:p>
    <w:p w:rsidR="00351E64" w:rsidRPr="00351E64" w:rsidRDefault="00351E64" w:rsidP="009472C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поликультурную компетенцию;</w:t>
      </w:r>
    </w:p>
    <w:p w:rsidR="00351E64" w:rsidRPr="00351E64" w:rsidRDefault="00351E64" w:rsidP="009472C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языковую компетенцию;</w:t>
      </w:r>
    </w:p>
    <w:p w:rsidR="00351E64" w:rsidRPr="00351E64" w:rsidRDefault="00351E64" w:rsidP="009472C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информационную компетенцию. (4, с. 194).</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Согласно Оперативному перечню работ и профессии (</w:t>
      </w:r>
      <w:proofErr w:type="spellStart"/>
      <w:r w:rsidRPr="00351E64">
        <w:rPr>
          <w:rFonts w:ascii="Times New Roman" w:eastAsia="Times New Roman" w:hAnsi="Times New Roman" w:cs="Times New Roman"/>
          <w:sz w:val="24"/>
          <w:szCs w:val="24"/>
          <w:lang w:eastAsia="ru-RU"/>
        </w:rPr>
        <w:t>ОППиР</w:t>
      </w:r>
      <w:proofErr w:type="spellEnd"/>
      <w:r w:rsidRPr="00351E64">
        <w:rPr>
          <w:rFonts w:ascii="Times New Roman" w:eastAsia="Times New Roman" w:hAnsi="Times New Roman" w:cs="Times New Roman"/>
          <w:sz w:val="24"/>
          <w:szCs w:val="24"/>
          <w:lang w:eastAsia="ru-RU"/>
        </w:rPr>
        <w:t>, Франция) работник должен иметь определенный набор различных технологических</w:t>
      </w:r>
      <w:r w:rsidRPr="00351E64">
        <w:rPr>
          <w:rFonts w:ascii="Times New Roman" w:eastAsia="Times New Roman" w:hAnsi="Times New Roman" w:cs="Times New Roman"/>
          <w:b/>
          <w:bCs/>
          <w:sz w:val="24"/>
          <w:szCs w:val="24"/>
          <w:lang w:eastAsia="ru-RU"/>
        </w:rPr>
        <w:t xml:space="preserve"> базовых компетенций и сопутствующих компетенций</w:t>
      </w:r>
      <w:r w:rsidRPr="00351E64">
        <w:rPr>
          <w:rFonts w:ascii="Times New Roman" w:eastAsia="Times New Roman" w:hAnsi="Times New Roman" w:cs="Times New Roman"/>
          <w:sz w:val="24"/>
          <w:szCs w:val="24"/>
          <w:lang w:eastAsia="ru-RU"/>
        </w:rPr>
        <w:t>, способностей, требующихся для выполнения конкретной работы (3, с.19). Базовые технологические компетенции отражаются в Государственных образовательных стандартах и квалификационных требованиях. Они имеют свою специфику, объединяют знания и навыки, требуемые для реализации профессиональной деятельности и должностных обязанностей.</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b/>
          <w:bCs/>
          <w:sz w:val="24"/>
          <w:szCs w:val="24"/>
          <w:lang w:eastAsia="ru-RU"/>
        </w:rPr>
        <w:lastRenderedPageBreak/>
        <w:t>Сопутствующие компетенции</w:t>
      </w:r>
      <w:r w:rsidRPr="00351E64">
        <w:rPr>
          <w:rFonts w:ascii="Times New Roman" w:eastAsia="Times New Roman" w:hAnsi="Times New Roman" w:cs="Times New Roman"/>
          <w:sz w:val="24"/>
          <w:szCs w:val="24"/>
          <w:lang w:eastAsia="ru-RU"/>
        </w:rPr>
        <w:t xml:space="preserve"> - это те, которые являются дополнительными и индивидуальными для каждого работника. Это потенциал личности, прошлый опыт человека, который позволяет ему быть успешным в профессиональной деятельности. Представляет интерес опыт разработки и оценивания квалификации личности, накопленный Шотландским квалификационным управлением (SQA). Исходным элементом квалификаций здесь также выступают ключевые компетенции, которые включают в себя широкое разнообразие умений и навыков, помогающих людям адаптироваться в изменяющемся обществе. SQA разработало следующие ключевые компетенции:</w:t>
      </w:r>
    </w:p>
    <w:p w:rsidR="00351E64" w:rsidRPr="00351E64" w:rsidRDefault="00351E64" w:rsidP="009472CE">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навыки коммуникации: письменной, устной; </w:t>
      </w:r>
    </w:p>
    <w:p w:rsidR="00351E64" w:rsidRPr="00351E64" w:rsidRDefault="00351E64" w:rsidP="009472CE">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вычислительные навыки: использование графической информации, использование цифр, критическое мышление, планирование и организация, рецензирование и оценивание; </w:t>
      </w:r>
    </w:p>
    <w:p w:rsidR="00351E64" w:rsidRPr="00351E64" w:rsidRDefault="00351E64" w:rsidP="009472CE">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использование информационных технологий;</w:t>
      </w:r>
    </w:p>
    <w:p w:rsidR="00351E64" w:rsidRPr="00351E64" w:rsidRDefault="00351E64" w:rsidP="009472CE">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навыки работы с другими (сотрудничества).</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Все ключевые компетенции направлены на совершенствование качества обучения. Специалисты SQA считают, что приобретение ключевых компетенций - процесс динамичный и происходит поэтапно. Здесь разработаны не только сами ключевые компетенции, но и уровни их освоения, а также требования к ним на разных уровнях.</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На наш взгляд, эволюция профессий и специальностей сегодня, содержание реальных работ и ситуаций предполагают необходимость приобретения выпускником вуза </w:t>
      </w:r>
      <w:r w:rsidRPr="00351E64">
        <w:rPr>
          <w:rFonts w:ascii="Times New Roman" w:eastAsia="Times New Roman" w:hAnsi="Times New Roman" w:cs="Times New Roman"/>
          <w:i/>
          <w:iCs/>
          <w:sz w:val="24"/>
          <w:szCs w:val="24"/>
          <w:lang w:eastAsia="ru-RU"/>
        </w:rPr>
        <w:t>комплекса инвариантных ключевых компетенций</w:t>
      </w:r>
      <w:r w:rsidRPr="00351E64">
        <w:rPr>
          <w:rFonts w:ascii="Times New Roman" w:eastAsia="Times New Roman" w:hAnsi="Times New Roman" w:cs="Times New Roman"/>
          <w:sz w:val="24"/>
          <w:szCs w:val="24"/>
          <w:lang w:eastAsia="ru-RU"/>
        </w:rPr>
        <w:t xml:space="preserve">, которые позволят личности быть постоянно востребованной на рынке труда. При характеристике ключевых компетенций важным является также учет пяти основных потенциалов, которыми должна владеть личность и на базе чего выстраивается формирование ключевых компетенций. Это познавательный, морально-нравственный, творческий, коммуникативный и эстетический потенциалы, которые задают направленность процессу развития личности (2). В обозначенной проблеме важным является </w:t>
      </w:r>
      <w:r w:rsidRPr="00351E64">
        <w:rPr>
          <w:rFonts w:ascii="Times New Roman" w:eastAsia="Times New Roman" w:hAnsi="Times New Roman" w:cs="Times New Roman"/>
          <w:i/>
          <w:iCs/>
          <w:sz w:val="24"/>
          <w:szCs w:val="24"/>
          <w:lang w:eastAsia="ru-RU"/>
        </w:rPr>
        <w:t>анализ расхождений между существующими и ожидаемыми компетенциями</w:t>
      </w:r>
      <w:r w:rsidRPr="00351E64">
        <w:rPr>
          <w:rFonts w:ascii="Times New Roman" w:eastAsia="Times New Roman" w:hAnsi="Times New Roman" w:cs="Times New Roman"/>
          <w:sz w:val="24"/>
          <w:szCs w:val="24"/>
          <w:lang w:eastAsia="ru-RU"/>
        </w:rPr>
        <w:t>. В связи с этим возрастает значимость диагностических процедур или комплексной диагностики личностно-профессионального потенциала абитуриентов и факторов, как влияющих на подготовку специалиста, так и тех, на которые можно воздействовать.</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w:t>
      </w:r>
    </w:p>
    <w:p w:rsidR="00351E64" w:rsidRPr="00351E64" w:rsidRDefault="00351E64" w:rsidP="00351E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Сравнение имеющихся и проектируемых ключевых компетенций, определение "портфеля компетенций" актуализируют задачу адекватного выбора технологии обучения, выстраивания соответствующих (формирующих, развивающих, корректирующих) стратегий, определения механизмов внутреннего и внешнего оценивания знаний и компетенций. (Здесь можно сослаться на известную в отечественной литературе модель Леонтьева В. "</w:t>
      </w:r>
      <w:proofErr w:type="spellStart"/>
      <w:r w:rsidRPr="00351E64">
        <w:rPr>
          <w:rFonts w:ascii="Times New Roman" w:eastAsia="Times New Roman" w:hAnsi="Times New Roman" w:cs="Times New Roman"/>
          <w:sz w:val="24"/>
          <w:szCs w:val="24"/>
          <w:lang w:eastAsia="ru-RU"/>
        </w:rPr>
        <w:t>input</w:t>
      </w:r>
      <w:proofErr w:type="spellEnd"/>
      <w:r w:rsidRPr="00351E64">
        <w:rPr>
          <w:rFonts w:ascii="Times New Roman" w:eastAsia="Times New Roman" w:hAnsi="Times New Roman" w:cs="Times New Roman"/>
          <w:sz w:val="24"/>
          <w:szCs w:val="24"/>
          <w:lang w:eastAsia="ru-RU"/>
        </w:rPr>
        <w:t xml:space="preserve"> - </w:t>
      </w:r>
      <w:proofErr w:type="spellStart"/>
      <w:r w:rsidRPr="00351E64">
        <w:rPr>
          <w:rFonts w:ascii="Times New Roman" w:eastAsia="Times New Roman" w:hAnsi="Times New Roman" w:cs="Times New Roman"/>
          <w:sz w:val="24"/>
          <w:szCs w:val="24"/>
          <w:lang w:eastAsia="ru-RU"/>
        </w:rPr>
        <w:t>output</w:t>
      </w:r>
      <w:proofErr w:type="spellEnd"/>
      <w:r w:rsidRPr="00351E64">
        <w:rPr>
          <w:rFonts w:ascii="Times New Roman" w:eastAsia="Times New Roman" w:hAnsi="Times New Roman" w:cs="Times New Roman"/>
          <w:sz w:val="24"/>
          <w:szCs w:val="24"/>
          <w:lang w:eastAsia="ru-RU"/>
        </w:rPr>
        <w:t>", которая позволяет проследить изменения в развитии личности.) Суммируя сказанное, можно утверждать, что применяемость ключевых компетенций в модели специалиста ставит в центр внимания вопросы качества образования, приоритета развития личности в профессионале и формирования специалиста-</w:t>
      </w:r>
      <w:proofErr w:type="spellStart"/>
      <w:r w:rsidRPr="00351E64">
        <w:rPr>
          <w:rFonts w:ascii="Times New Roman" w:eastAsia="Times New Roman" w:hAnsi="Times New Roman" w:cs="Times New Roman"/>
          <w:sz w:val="24"/>
          <w:szCs w:val="24"/>
          <w:lang w:eastAsia="ru-RU"/>
        </w:rPr>
        <w:t>проблемника</w:t>
      </w:r>
      <w:proofErr w:type="spellEnd"/>
      <w:r w:rsidRPr="00351E64">
        <w:rPr>
          <w:rFonts w:ascii="Times New Roman" w:eastAsia="Times New Roman" w:hAnsi="Times New Roman" w:cs="Times New Roman"/>
          <w:sz w:val="24"/>
          <w:szCs w:val="24"/>
          <w:lang w:eastAsia="ru-RU"/>
        </w:rPr>
        <w:t>. Данная стратегия отвечает требованиям модернизации образования и выхода ее из состояния кризиса.</w:t>
      </w:r>
    </w:p>
    <w:p w:rsidR="00351E64" w:rsidRPr="00351E64" w:rsidRDefault="00351E64" w:rsidP="009472CE">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lastRenderedPageBreak/>
        <w:t xml:space="preserve">Алюшина Ю.Е., Дмитриевская Н.А, Ефимова Л.Е./ Наше видение модели специалиста. В сб. Научное обеспечение открытого образования. - М.: </w:t>
      </w:r>
      <w:proofErr w:type="spellStart"/>
      <w:r w:rsidRPr="00351E64">
        <w:rPr>
          <w:rFonts w:ascii="Times New Roman" w:eastAsia="Times New Roman" w:hAnsi="Times New Roman" w:cs="Times New Roman"/>
          <w:sz w:val="24"/>
          <w:szCs w:val="24"/>
          <w:lang w:eastAsia="ru-RU"/>
        </w:rPr>
        <w:t>Моск</w:t>
      </w:r>
      <w:proofErr w:type="spellEnd"/>
      <w:r w:rsidRPr="00351E64">
        <w:rPr>
          <w:rFonts w:ascii="Times New Roman" w:eastAsia="Times New Roman" w:hAnsi="Times New Roman" w:cs="Times New Roman"/>
          <w:sz w:val="24"/>
          <w:szCs w:val="24"/>
          <w:lang w:eastAsia="ru-RU"/>
        </w:rPr>
        <w:t>. гос. ун-т экономики, статистики и информатики, 2000. - С. 121.</w:t>
      </w:r>
    </w:p>
    <w:p w:rsidR="00351E64" w:rsidRPr="00351E64" w:rsidRDefault="00351E64" w:rsidP="009472CE">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Каган М.С. Человеческая деятельность. - М., 1974. - С. 328. </w:t>
      </w:r>
    </w:p>
    <w:p w:rsidR="00351E64" w:rsidRPr="00351E64" w:rsidRDefault="00351E64" w:rsidP="009472CE">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Машукова Н.Д. Методические рекомендации по организации внутрифирменного обучения персонала. - Ярославль: </w:t>
      </w:r>
      <w:proofErr w:type="spellStart"/>
      <w:r w:rsidRPr="00351E64">
        <w:rPr>
          <w:rFonts w:ascii="Times New Roman" w:eastAsia="Times New Roman" w:hAnsi="Times New Roman" w:cs="Times New Roman"/>
          <w:sz w:val="24"/>
          <w:szCs w:val="24"/>
          <w:lang w:eastAsia="ru-RU"/>
        </w:rPr>
        <w:t>ЯрИПК</w:t>
      </w:r>
      <w:proofErr w:type="spellEnd"/>
      <w:r w:rsidRPr="00351E64">
        <w:rPr>
          <w:rFonts w:ascii="Times New Roman" w:eastAsia="Times New Roman" w:hAnsi="Times New Roman" w:cs="Times New Roman"/>
          <w:sz w:val="24"/>
          <w:szCs w:val="24"/>
          <w:lang w:eastAsia="ru-RU"/>
        </w:rPr>
        <w:t>, 2000. - С. 78.</w:t>
      </w:r>
    </w:p>
    <w:p w:rsidR="00351E64" w:rsidRPr="00351E64" w:rsidRDefault="00351E64" w:rsidP="009472CE">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Педагогика открытости и диалога культур. Под ред. М.Н. Певзнера, В.О. </w:t>
      </w:r>
      <w:proofErr w:type="spellStart"/>
      <w:r w:rsidRPr="00351E64">
        <w:rPr>
          <w:rFonts w:ascii="Times New Roman" w:eastAsia="Times New Roman" w:hAnsi="Times New Roman" w:cs="Times New Roman"/>
          <w:sz w:val="24"/>
          <w:szCs w:val="24"/>
          <w:lang w:eastAsia="ru-RU"/>
        </w:rPr>
        <w:t>Букетова</w:t>
      </w:r>
      <w:proofErr w:type="spellEnd"/>
      <w:r w:rsidRPr="00351E64">
        <w:rPr>
          <w:rFonts w:ascii="Times New Roman" w:eastAsia="Times New Roman" w:hAnsi="Times New Roman" w:cs="Times New Roman"/>
          <w:sz w:val="24"/>
          <w:szCs w:val="24"/>
          <w:lang w:eastAsia="ru-RU"/>
        </w:rPr>
        <w:t xml:space="preserve">, О.М. Зайченко. - М.: Исследовательский центр проблем качества подготовки специалистов, </w:t>
      </w:r>
      <w:proofErr w:type="gramStart"/>
      <w:r w:rsidRPr="00351E64">
        <w:rPr>
          <w:rFonts w:ascii="Times New Roman" w:eastAsia="Times New Roman" w:hAnsi="Times New Roman" w:cs="Times New Roman"/>
          <w:sz w:val="24"/>
          <w:szCs w:val="24"/>
          <w:lang w:eastAsia="ru-RU"/>
        </w:rPr>
        <w:t>2000.-</w:t>
      </w:r>
      <w:proofErr w:type="gramEnd"/>
      <w:r w:rsidRPr="00351E64">
        <w:rPr>
          <w:rFonts w:ascii="Times New Roman" w:eastAsia="Times New Roman" w:hAnsi="Times New Roman" w:cs="Times New Roman"/>
          <w:sz w:val="24"/>
          <w:szCs w:val="24"/>
          <w:lang w:eastAsia="ru-RU"/>
        </w:rPr>
        <w:t xml:space="preserve"> С. 265. </w:t>
      </w:r>
    </w:p>
    <w:p w:rsidR="00351E64" w:rsidRPr="00351E64" w:rsidRDefault="00351E64" w:rsidP="009472CE">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1E64">
        <w:rPr>
          <w:rFonts w:ascii="Times New Roman" w:eastAsia="Times New Roman" w:hAnsi="Times New Roman" w:cs="Times New Roman"/>
          <w:sz w:val="24"/>
          <w:szCs w:val="24"/>
          <w:lang w:eastAsia="ru-RU"/>
        </w:rPr>
        <w:t>Субетто</w:t>
      </w:r>
      <w:proofErr w:type="spellEnd"/>
      <w:r w:rsidRPr="00351E64">
        <w:rPr>
          <w:rFonts w:ascii="Times New Roman" w:eastAsia="Times New Roman" w:hAnsi="Times New Roman" w:cs="Times New Roman"/>
          <w:sz w:val="24"/>
          <w:szCs w:val="24"/>
          <w:lang w:eastAsia="ru-RU"/>
        </w:rPr>
        <w:t xml:space="preserve"> А.И. </w:t>
      </w:r>
      <w:proofErr w:type="spellStart"/>
      <w:r w:rsidRPr="00351E64">
        <w:rPr>
          <w:rFonts w:ascii="Times New Roman" w:eastAsia="Times New Roman" w:hAnsi="Times New Roman" w:cs="Times New Roman"/>
          <w:sz w:val="24"/>
          <w:szCs w:val="24"/>
          <w:lang w:eastAsia="ru-RU"/>
        </w:rPr>
        <w:t>Квалитология</w:t>
      </w:r>
      <w:proofErr w:type="spellEnd"/>
      <w:r w:rsidRPr="00351E64">
        <w:rPr>
          <w:rFonts w:ascii="Times New Roman" w:eastAsia="Times New Roman" w:hAnsi="Times New Roman" w:cs="Times New Roman"/>
          <w:sz w:val="24"/>
          <w:szCs w:val="24"/>
          <w:lang w:eastAsia="ru-RU"/>
        </w:rPr>
        <w:t xml:space="preserve"> </w:t>
      </w:r>
      <w:proofErr w:type="gramStart"/>
      <w:r w:rsidRPr="00351E64">
        <w:rPr>
          <w:rFonts w:ascii="Times New Roman" w:eastAsia="Times New Roman" w:hAnsi="Times New Roman" w:cs="Times New Roman"/>
          <w:sz w:val="24"/>
          <w:szCs w:val="24"/>
          <w:lang w:eastAsia="ru-RU"/>
        </w:rPr>
        <w:t>образования.-</w:t>
      </w:r>
      <w:proofErr w:type="gramEnd"/>
      <w:r w:rsidRPr="00351E64">
        <w:rPr>
          <w:rFonts w:ascii="Times New Roman" w:eastAsia="Times New Roman" w:hAnsi="Times New Roman" w:cs="Times New Roman"/>
          <w:sz w:val="24"/>
          <w:szCs w:val="24"/>
          <w:lang w:eastAsia="ru-RU"/>
        </w:rPr>
        <w:t xml:space="preserve"> СПб.- М.: Исследовательский центр проблем качества подготовки специалистов, 2000. - С.200. </w:t>
      </w:r>
    </w:p>
    <w:p w:rsidR="00351E64" w:rsidRPr="00351E64" w:rsidRDefault="00351E64" w:rsidP="009472CE">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1E64">
        <w:rPr>
          <w:rFonts w:ascii="Times New Roman" w:eastAsia="Times New Roman" w:hAnsi="Times New Roman" w:cs="Times New Roman"/>
          <w:sz w:val="24"/>
          <w:szCs w:val="24"/>
          <w:lang w:eastAsia="ru-RU"/>
        </w:rPr>
        <w:t>Шевандрин</w:t>
      </w:r>
      <w:proofErr w:type="spellEnd"/>
      <w:r w:rsidRPr="00351E64">
        <w:rPr>
          <w:rFonts w:ascii="Times New Roman" w:eastAsia="Times New Roman" w:hAnsi="Times New Roman" w:cs="Times New Roman"/>
          <w:sz w:val="24"/>
          <w:szCs w:val="24"/>
          <w:lang w:eastAsia="ru-RU"/>
        </w:rPr>
        <w:t xml:space="preserve"> Н.И. Социальная психология в образовании. - М., ВЛАДОС, 1995. - С. 554. </w:t>
      </w:r>
    </w:p>
    <w:p w:rsidR="00351E64" w:rsidRPr="00351E64" w:rsidRDefault="00351E64" w:rsidP="009472CE">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E64">
        <w:rPr>
          <w:rFonts w:ascii="Times New Roman" w:eastAsia="Times New Roman" w:hAnsi="Times New Roman" w:cs="Times New Roman"/>
          <w:sz w:val="24"/>
          <w:szCs w:val="24"/>
          <w:lang w:eastAsia="ru-RU"/>
        </w:rPr>
        <w:t xml:space="preserve">Шишов С.И., </w:t>
      </w:r>
      <w:proofErr w:type="spellStart"/>
      <w:r w:rsidRPr="00351E64">
        <w:rPr>
          <w:rFonts w:ascii="Times New Roman" w:eastAsia="Times New Roman" w:hAnsi="Times New Roman" w:cs="Times New Roman"/>
          <w:sz w:val="24"/>
          <w:szCs w:val="24"/>
          <w:lang w:eastAsia="ru-RU"/>
        </w:rPr>
        <w:t>Кальней</w:t>
      </w:r>
      <w:proofErr w:type="spellEnd"/>
      <w:r w:rsidRPr="00351E64">
        <w:rPr>
          <w:rFonts w:ascii="Times New Roman" w:eastAsia="Times New Roman" w:hAnsi="Times New Roman" w:cs="Times New Roman"/>
          <w:sz w:val="24"/>
          <w:szCs w:val="24"/>
          <w:lang w:eastAsia="ru-RU"/>
        </w:rPr>
        <w:t xml:space="preserve"> В.А. Мониторинг качества образования в школе. - М., 1998. </w:t>
      </w: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Default="00351E64" w:rsidP="00351E64">
      <w:pPr>
        <w:ind w:firstLine="708"/>
        <w:rPr>
          <w:rFonts w:ascii="Times New Roman" w:hAnsi="Times New Roman" w:cs="Times New Roman"/>
          <w:sz w:val="28"/>
          <w:szCs w:val="28"/>
        </w:rPr>
      </w:pPr>
    </w:p>
    <w:p w:rsidR="00351E64" w:rsidRPr="00351E64" w:rsidRDefault="00351E64" w:rsidP="00351E64">
      <w:pPr>
        <w:ind w:firstLine="708"/>
        <w:rPr>
          <w:rFonts w:ascii="Times New Roman" w:hAnsi="Times New Roman" w:cs="Times New Roman"/>
          <w:sz w:val="28"/>
          <w:szCs w:val="28"/>
        </w:rPr>
      </w:pPr>
      <w:bookmarkStart w:id="0" w:name="_GoBack"/>
      <w:bookmarkEnd w:id="0"/>
    </w:p>
    <w:sectPr w:rsidR="00351E64" w:rsidRPr="00351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2DE"/>
    <w:multiLevelType w:val="multilevel"/>
    <w:tmpl w:val="F4C8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83C91"/>
    <w:multiLevelType w:val="multilevel"/>
    <w:tmpl w:val="7692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01A8E"/>
    <w:multiLevelType w:val="multilevel"/>
    <w:tmpl w:val="DB20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740AF"/>
    <w:multiLevelType w:val="multilevel"/>
    <w:tmpl w:val="6106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D7B7F"/>
    <w:multiLevelType w:val="multilevel"/>
    <w:tmpl w:val="1E56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3B450F"/>
    <w:multiLevelType w:val="multilevel"/>
    <w:tmpl w:val="0A42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25097"/>
    <w:multiLevelType w:val="multilevel"/>
    <w:tmpl w:val="F640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029CF"/>
    <w:multiLevelType w:val="multilevel"/>
    <w:tmpl w:val="25AA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623D9"/>
    <w:multiLevelType w:val="multilevel"/>
    <w:tmpl w:val="D76A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D3648"/>
    <w:multiLevelType w:val="multilevel"/>
    <w:tmpl w:val="5FCA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0C1676"/>
    <w:multiLevelType w:val="multilevel"/>
    <w:tmpl w:val="9DC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47A05"/>
    <w:multiLevelType w:val="multilevel"/>
    <w:tmpl w:val="EAE6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C30151"/>
    <w:multiLevelType w:val="multilevel"/>
    <w:tmpl w:val="6F50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30F58"/>
    <w:multiLevelType w:val="multilevel"/>
    <w:tmpl w:val="A728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15D1D"/>
    <w:multiLevelType w:val="multilevel"/>
    <w:tmpl w:val="D928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693157"/>
    <w:multiLevelType w:val="multilevel"/>
    <w:tmpl w:val="32E4B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976511"/>
    <w:multiLevelType w:val="multilevel"/>
    <w:tmpl w:val="326C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F519F4"/>
    <w:multiLevelType w:val="multilevel"/>
    <w:tmpl w:val="9DEA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707BF"/>
    <w:multiLevelType w:val="multilevel"/>
    <w:tmpl w:val="CCD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E313C"/>
    <w:multiLevelType w:val="multilevel"/>
    <w:tmpl w:val="223E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F6735B"/>
    <w:multiLevelType w:val="multilevel"/>
    <w:tmpl w:val="843C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B4E92"/>
    <w:multiLevelType w:val="multilevel"/>
    <w:tmpl w:val="EC3A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31C29"/>
    <w:multiLevelType w:val="multilevel"/>
    <w:tmpl w:val="281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787755"/>
    <w:multiLevelType w:val="multilevel"/>
    <w:tmpl w:val="AFCC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517116"/>
    <w:multiLevelType w:val="multilevel"/>
    <w:tmpl w:val="6FCA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6B7307"/>
    <w:multiLevelType w:val="multilevel"/>
    <w:tmpl w:val="521A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653F62"/>
    <w:multiLevelType w:val="multilevel"/>
    <w:tmpl w:val="8C4C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DF215A"/>
    <w:multiLevelType w:val="multilevel"/>
    <w:tmpl w:val="602A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C949B3"/>
    <w:multiLevelType w:val="multilevel"/>
    <w:tmpl w:val="3A9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674F4C"/>
    <w:multiLevelType w:val="multilevel"/>
    <w:tmpl w:val="B39C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697B93"/>
    <w:multiLevelType w:val="multilevel"/>
    <w:tmpl w:val="218C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490C2C"/>
    <w:multiLevelType w:val="multilevel"/>
    <w:tmpl w:val="3B14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0E19FE"/>
    <w:multiLevelType w:val="multilevel"/>
    <w:tmpl w:val="B1A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427ED3"/>
    <w:multiLevelType w:val="multilevel"/>
    <w:tmpl w:val="78C4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79488E"/>
    <w:multiLevelType w:val="multilevel"/>
    <w:tmpl w:val="4FC6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A13890"/>
    <w:multiLevelType w:val="multilevel"/>
    <w:tmpl w:val="5C243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383B44"/>
    <w:multiLevelType w:val="multilevel"/>
    <w:tmpl w:val="9F20F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7F581E"/>
    <w:multiLevelType w:val="multilevel"/>
    <w:tmpl w:val="5E4E5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EA1AF1"/>
    <w:multiLevelType w:val="multilevel"/>
    <w:tmpl w:val="6AEC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8860C6"/>
    <w:multiLevelType w:val="multilevel"/>
    <w:tmpl w:val="C06C7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584FFC"/>
    <w:multiLevelType w:val="multilevel"/>
    <w:tmpl w:val="54E6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56632E"/>
    <w:multiLevelType w:val="multilevel"/>
    <w:tmpl w:val="3F90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BF3897"/>
    <w:multiLevelType w:val="multilevel"/>
    <w:tmpl w:val="7E70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B15276"/>
    <w:multiLevelType w:val="multilevel"/>
    <w:tmpl w:val="6D22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A82288"/>
    <w:multiLevelType w:val="multilevel"/>
    <w:tmpl w:val="CDF8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B719CE"/>
    <w:multiLevelType w:val="multilevel"/>
    <w:tmpl w:val="77C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9122FA"/>
    <w:multiLevelType w:val="multilevel"/>
    <w:tmpl w:val="17FA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D5460E"/>
    <w:multiLevelType w:val="multilevel"/>
    <w:tmpl w:val="7262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247D99"/>
    <w:multiLevelType w:val="multilevel"/>
    <w:tmpl w:val="5D9E09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9D0FD6"/>
    <w:multiLevelType w:val="multilevel"/>
    <w:tmpl w:val="8BE07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9B20FC"/>
    <w:multiLevelType w:val="multilevel"/>
    <w:tmpl w:val="4094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463724"/>
    <w:multiLevelType w:val="multilevel"/>
    <w:tmpl w:val="51AE0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8E6EAE"/>
    <w:multiLevelType w:val="multilevel"/>
    <w:tmpl w:val="C028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9F2B89"/>
    <w:multiLevelType w:val="multilevel"/>
    <w:tmpl w:val="DF64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B21419"/>
    <w:multiLevelType w:val="multilevel"/>
    <w:tmpl w:val="6D1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442EB4"/>
    <w:multiLevelType w:val="multilevel"/>
    <w:tmpl w:val="E3B4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52"/>
  </w:num>
  <w:num w:numId="3">
    <w:abstractNumId w:val="3"/>
  </w:num>
  <w:num w:numId="4">
    <w:abstractNumId w:val="30"/>
  </w:num>
  <w:num w:numId="5">
    <w:abstractNumId w:val="41"/>
  </w:num>
  <w:num w:numId="6">
    <w:abstractNumId w:val="2"/>
  </w:num>
  <w:num w:numId="7">
    <w:abstractNumId w:val="44"/>
  </w:num>
  <w:num w:numId="8">
    <w:abstractNumId w:val="33"/>
  </w:num>
  <w:num w:numId="9">
    <w:abstractNumId w:val="23"/>
  </w:num>
  <w:num w:numId="10">
    <w:abstractNumId w:val="53"/>
  </w:num>
  <w:num w:numId="11">
    <w:abstractNumId w:val="14"/>
  </w:num>
  <w:num w:numId="12">
    <w:abstractNumId w:val="46"/>
  </w:num>
  <w:num w:numId="13">
    <w:abstractNumId w:val="10"/>
  </w:num>
  <w:num w:numId="14">
    <w:abstractNumId w:val="38"/>
  </w:num>
  <w:num w:numId="15">
    <w:abstractNumId w:val="32"/>
  </w:num>
  <w:num w:numId="16">
    <w:abstractNumId w:val="6"/>
  </w:num>
  <w:num w:numId="17">
    <w:abstractNumId w:val="50"/>
  </w:num>
  <w:num w:numId="18">
    <w:abstractNumId w:val="43"/>
  </w:num>
  <w:num w:numId="19">
    <w:abstractNumId w:val="35"/>
  </w:num>
  <w:num w:numId="20">
    <w:abstractNumId w:val="5"/>
  </w:num>
  <w:num w:numId="21">
    <w:abstractNumId w:val="16"/>
  </w:num>
  <w:num w:numId="22">
    <w:abstractNumId w:val="9"/>
  </w:num>
  <w:num w:numId="23">
    <w:abstractNumId w:val="15"/>
  </w:num>
  <w:num w:numId="24">
    <w:abstractNumId w:val="49"/>
  </w:num>
  <w:num w:numId="25">
    <w:abstractNumId w:val="13"/>
  </w:num>
  <w:num w:numId="26">
    <w:abstractNumId w:val="45"/>
  </w:num>
  <w:num w:numId="27">
    <w:abstractNumId w:val="27"/>
  </w:num>
  <w:num w:numId="28">
    <w:abstractNumId w:val="40"/>
  </w:num>
  <w:num w:numId="29">
    <w:abstractNumId w:val="48"/>
  </w:num>
  <w:num w:numId="30">
    <w:abstractNumId w:val="1"/>
  </w:num>
  <w:num w:numId="31">
    <w:abstractNumId w:val="11"/>
  </w:num>
  <w:num w:numId="32">
    <w:abstractNumId w:val="20"/>
  </w:num>
  <w:num w:numId="33">
    <w:abstractNumId w:val="25"/>
  </w:num>
  <w:num w:numId="34">
    <w:abstractNumId w:val="54"/>
  </w:num>
  <w:num w:numId="35">
    <w:abstractNumId w:val="12"/>
  </w:num>
  <w:num w:numId="36">
    <w:abstractNumId w:val="8"/>
  </w:num>
  <w:num w:numId="37">
    <w:abstractNumId w:val="47"/>
  </w:num>
  <w:num w:numId="38">
    <w:abstractNumId w:val="37"/>
  </w:num>
  <w:num w:numId="39">
    <w:abstractNumId w:val="36"/>
  </w:num>
  <w:num w:numId="40">
    <w:abstractNumId w:val="39"/>
  </w:num>
  <w:num w:numId="41">
    <w:abstractNumId w:val="29"/>
  </w:num>
  <w:num w:numId="42">
    <w:abstractNumId w:val="18"/>
  </w:num>
  <w:num w:numId="43">
    <w:abstractNumId w:val="28"/>
  </w:num>
  <w:num w:numId="44">
    <w:abstractNumId w:val="26"/>
  </w:num>
  <w:num w:numId="45">
    <w:abstractNumId w:val="24"/>
  </w:num>
  <w:num w:numId="46">
    <w:abstractNumId w:val="22"/>
  </w:num>
  <w:num w:numId="47">
    <w:abstractNumId w:val="17"/>
  </w:num>
  <w:num w:numId="48">
    <w:abstractNumId w:val="21"/>
  </w:num>
  <w:num w:numId="49">
    <w:abstractNumId w:val="0"/>
  </w:num>
  <w:num w:numId="50">
    <w:abstractNumId w:val="55"/>
  </w:num>
  <w:num w:numId="51">
    <w:abstractNumId w:val="7"/>
  </w:num>
  <w:num w:numId="52">
    <w:abstractNumId w:val="31"/>
  </w:num>
  <w:num w:numId="53">
    <w:abstractNumId w:val="34"/>
  </w:num>
  <w:num w:numId="54">
    <w:abstractNumId w:val="19"/>
  </w:num>
  <w:num w:numId="55">
    <w:abstractNumId w:val="4"/>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88"/>
    <w:rsid w:val="0005073B"/>
    <w:rsid w:val="00351E64"/>
    <w:rsid w:val="00485067"/>
    <w:rsid w:val="009472CE"/>
    <w:rsid w:val="00B2494E"/>
    <w:rsid w:val="00E4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4ED81-AFF7-4B2C-BD67-2A1C8618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1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1E64"/>
    <w:rPr>
      <w:b/>
      <w:bCs/>
    </w:rPr>
  </w:style>
  <w:style w:type="character" w:styleId="a5">
    <w:name w:val="Hyperlink"/>
    <w:basedOn w:val="a0"/>
    <w:uiPriority w:val="99"/>
    <w:semiHidden/>
    <w:unhideWhenUsed/>
    <w:rsid w:val="00351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9411">
      <w:bodyDiv w:val="1"/>
      <w:marLeft w:val="0"/>
      <w:marRight w:val="0"/>
      <w:marTop w:val="0"/>
      <w:marBottom w:val="0"/>
      <w:divBdr>
        <w:top w:val="none" w:sz="0" w:space="0" w:color="auto"/>
        <w:left w:val="none" w:sz="0" w:space="0" w:color="auto"/>
        <w:bottom w:val="none" w:sz="0" w:space="0" w:color="auto"/>
        <w:right w:val="none" w:sz="0" w:space="0" w:color="auto"/>
      </w:divBdr>
    </w:div>
    <w:div w:id="286203998">
      <w:bodyDiv w:val="1"/>
      <w:marLeft w:val="0"/>
      <w:marRight w:val="0"/>
      <w:marTop w:val="0"/>
      <w:marBottom w:val="0"/>
      <w:divBdr>
        <w:top w:val="none" w:sz="0" w:space="0" w:color="auto"/>
        <w:left w:val="none" w:sz="0" w:space="0" w:color="auto"/>
        <w:bottom w:val="none" w:sz="0" w:space="0" w:color="auto"/>
        <w:right w:val="none" w:sz="0" w:space="0" w:color="auto"/>
      </w:divBdr>
      <w:divsChild>
        <w:div w:id="1490055947">
          <w:marLeft w:val="0"/>
          <w:marRight w:val="0"/>
          <w:marTop w:val="0"/>
          <w:marBottom w:val="0"/>
          <w:divBdr>
            <w:top w:val="none" w:sz="0" w:space="0" w:color="auto"/>
            <w:left w:val="none" w:sz="0" w:space="0" w:color="auto"/>
            <w:bottom w:val="none" w:sz="0" w:space="0" w:color="auto"/>
            <w:right w:val="none" w:sz="0" w:space="0" w:color="auto"/>
          </w:divBdr>
        </w:div>
      </w:divsChild>
    </w:div>
    <w:div w:id="356735940">
      <w:bodyDiv w:val="1"/>
      <w:marLeft w:val="0"/>
      <w:marRight w:val="0"/>
      <w:marTop w:val="0"/>
      <w:marBottom w:val="0"/>
      <w:divBdr>
        <w:top w:val="none" w:sz="0" w:space="0" w:color="auto"/>
        <w:left w:val="none" w:sz="0" w:space="0" w:color="auto"/>
        <w:bottom w:val="none" w:sz="0" w:space="0" w:color="auto"/>
        <w:right w:val="none" w:sz="0" w:space="0" w:color="auto"/>
      </w:divBdr>
      <w:divsChild>
        <w:div w:id="1942494834">
          <w:marLeft w:val="0"/>
          <w:marRight w:val="0"/>
          <w:marTop w:val="0"/>
          <w:marBottom w:val="0"/>
          <w:divBdr>
            <w:top w:val="none" w:sz="0" w:space="0" w:color="auto"/>
            <w:left w:val="none" w:sz="0" w:space="0" w:color="auto"/>
            <w:bottom w:val="none" w:sz="0" w:space="0" w:color="auto"/>
            <w:right w:val="none" w:sz="0" w:space="0" w:color="auto"/>
          </w:divBdr>
          <w:divsChild>
            <w:div w:id="735513922">
              <w:marLeft w:val="0"/>
              <w:marRight w:val="0"/>
              <w:marTop w:val="0"/>
              <w:marBottom w:val="0"/>
              <w:divBdr>
                <w:top w:val="none" w:sz="0" w:space="0" w:color="auto"/>
                <w:left w:val="none" w:sz="0" w:space="0" w:color="auto"/>
                <w:bottom w:val="none" w:sz="0" w:space="0" w:color="auto"/>
                <w:right w:val="none" w:sz="0" w:space="0" w:color="auto"/>
              </w:divBdr>
            </w:div>
            <w:div w:id="1729954431">
              <w:marLeft w:val="0"/>
              <w:marRight w:val="0"/>
              <w:marTop w:val="0"/>
              <w:marBottom w:val="0"/>
              <w:divBdr>
                <w:top w:val="none" w:sz="0" w:space="0" w:color="auto"/>
                <w:left w:val="none" w:sz="0" w:space="0" w:color="auto"/>
                <w:bottom w:val="none" w:sz="0" w:space="0" w:color="auto"/>
                <w:right w:val="none" w:sz="0" w:space="0" w:color="auto"/>
              </w:divBdr>
            </w:div>
            <w:div w:id="1237399743">
              <w:marLeft w:val="0"/>
              <w:marRight w:val="0"/>
              <w:marTop w:val="0"/>
              <w:marBottom w:val="0"/>
              <w:divBdr>
                <w:top w:val="none" w:sz="0" w:space="0" w:color="auto"/>
                <w:left w:val="none" w:sz="0" w:space="0" w:color="auto"/>
                <w:bottom w:val="none" w:sz="0" w:space="0" w:color="auto"/>
                <w:right w:val="none" w:sz="0" w:space="0" w:color="auto"/>
              </w:divBdr>
            </w:div>
            <w:div w:id="186260531">
              <w:marLeft w:val="0"/>
              <w:marRight w:val="0"/>
              <w:marTop w:val="0"/>
              <w:marBottom w:val="0"/>
              <w:divBdr>
                <w:top w:val="none" w:sz="0" w:space="0" w:color="auto"/>
                <w:left w:val="none" w:sz="0" w:space="0" w:color="auto"/>
                <w:bottom w:val="none" w:sz="0" w:space="0" w:color="auto"/>
                <w:right w:val="none" w:sz="0" w:space="0" w:color="auto"/>
              </w:divBdr>
            </w:div>
            <w:div w:id="1477067458">
              <w:marLeft w:val="0"/>
              <w:marRight w:val="0"/>
              <w:marTop w:val="0"/>
              <w:marBottom w:val="0"/>
              <w:divBdr>
                <w:top w:val="none" w:sz="0" w:space="0" w:color="auto"/>
                <w:left w:val="none" w:sz="0" w:space="0" w:color="auto"/>
                <w:bottom w:val="none" w:sz="0" w:space="0" w:color="auto"/>
                <w:right w:val="none" w:sz="0" w:space="0" w:color="auto"/>
              </w:divBdr>
            </w:div>
            <w:div w:id="906694501">
              <w:marLeft w:val="0"/>
              <w:marRight w:val="0"/>
              <w:marTop w:val="0"/>
              <w:marBottom w:val="0"/>
              <w:divBdr>
                <w:top w:val="none" w:sz="0" w:space="0" w:color="auto"/>
                <w:left w:val="none" w:sz="0" w:space="0" w:color="auto"/>
                <w:bottom w:val="none" w:sz="0" w:space="0" w:color="auto"/>
                <w:right w:val="none" w:sz="0" w:space="0" w:color="auto"/>
              </w:divBdr>
            </w:div>
            <w:div w:id="7463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09003">
      <w:bodyDiv w:val="1"/>
      <w:marLeft w:val="0"/>
      <w:marRight w:val="0"/>
      <w:marTop w:val="0"/>
      <w:marBottom w:val="0"/>
      <w:divBdr>
        <w:top w:val="none" w:sz="0" w:space="0" w:color="auto"/>
        <w:left w:val="none" w:sz="0" w:space="0" w:color="auto"/>
        <w:bottom w:val="none" w:sz="0" w:space="0" w:color="auto"/>
        <w:right w:val="none" w:sz="0" w:space="0" w:color="auto"/>
      </w:divBdr>
      <w:divsChild>
        <w:div w:id="1099251347">
          <w:marLeft w:val="0"/>
          <w:marRight w:val="0"/>
          <w:marTop w:val="0"/>
          <w:marBottom w:val="0"/>
          <w:divBdr>
            <w:top w:val="none" w:sz="0" w:space="0" w:color="auto"/>
            <w:left w:val="none" w:sz="0" w:space="0" w:color="auto"/>
            <w:bottom w:val="none" w:sz="0" w:space="0" w:color="auto"/>
            <w:right w:val="none" w:sz="0" w:space="0" w:color="auto"/>
          </w:divBdr>
        </w:div>
      </w:divsChild>
    </w:div>
    <w:div w:id="385449278">
      <w:bodyDiv w:val="1"/>
      <w:marLeft w:val="0"/>
      <w:marRight w:val="0"/>
      <w:marTop w:val="0"/>
      <w:marBottom w:val="0"/>
      <w:divBdr>
        <w:top w:val="none" w:sz="0" w:space="0" w:color="auto"/>
        <w:left w:val="none" w:sz="0" w:space="0" w:color="auto"/>
        <w:bottom w:val="none" w:sz="0" w:space="0" w:color="auto"/>
        <w:right w:val="none" w:sz="0" w:space="0" w:color="auto"/>
      </w:divBdr>
    </w:div>
    <w:div w:id="464204847">
      <w:bodyDiv w:val="1"/>
      <w:marLeft w:val="0"/>
      <w:marRight w:val="0"/>
      <w:marTop w:val="0"/>
      <w:marBottom w:val="0"/>
      <w:divBdr>
        <w:top w:val="none" w:sz="0" w:space="0" w:color="auto"/>
        <w:left w:val="none" w:sz="0" w:space="0" w:color="auto"/>
        <w:bottom w:val="none" w:sz="0" w:space="0" w:color="auto"/>
        <w:right w:val="none" w:sz="0" w:space="0" w:color="auto"/>
      </w:divBdr>
    </w:div>
    <w:div w:id="690231041">
      <w:bodyDiv w:val="1"/>
      <w:marLeft w:val="0"/>
      <w:marRight w:val="0"/>
      <w:marTop w:val="0"/>
      <w:marBottom w:val="0"/>
      <w:divBdr>
        <w:top w:val="none" w:sz="0" w:space="0" w:color="auto"/>
        <w:left w:val="none" w:sz="0" w:space="0" w:color="auto"/>
        <w:bottom w:val="none" w:sz="0" w:space="0" w:color="auto"/>
        <w:right w:val="none" w:sz="0" w:space="0" w:color="auto"/>
      </w:divBdr>
      <w:divsChild>
        <w:div w:id="1489135200">
          <w:marLeft w:val="0"/>
          <w:marRight w:val="0"/>
          <w:marTop w:val="0"/>
          <w:marBottom w:val="0"/>
          <w:divBdr>
            <w:top w:val="none" w:sz="0" w:space="0" w:color="auto"/>
            <w:left w:val="none" w:sz="0" w:space="0" w:color="auto"/>
            <w:bottom w:val="none" w:sz="0" w:space="0" w:color="auto"/>
            <w:right w:val="none" w:sz="0" w:space="0" w:color="auto"/>
          </w:divBdr>
        </w:div>
      </w:divsChild>
    </w:div>
    <w:div w:id="758719369">
      <w:bodyDiv w:val="1"/>
      <w:marLeft w:val="0"/>
      <w:marRight w:val="0"/>
      <w:marTop w:val="0"/>
      <w:marBottom w:val="0"/>
      <w:divBdr>
        <w:top w:val="none" w:sz="0" w:space="0" w:color="auto"/>
        <w:left w:val="none" w:sz="0" w:space="0" w:color="auto"/>
        <w:bottom w:val="none" w:sz="0" w:space="0" w:color="auto"/>
        <w:right w:val="none" w:sz="0" w:space="0" w:color="auto"/>
      </w:divBdr>
    </w:div>
    <w:div w:id="913511629">
      <w:bodyDiv w:val="1"/>
      <w:marLeft w:val="0"/>
      <w:marRight w:val="0"/>
      <w:marTop w:val="0"/>
      <w:marBottom w:val="0"/>
      <w:divBdr>
        <w:top w:val="none" w:sz="0" w:space="0" w:color="auto"/>
        <w:left w:val="none" w:sz="0" w:space="0" w:color="auto"/>
        <w:bottom w:val="none" w:sz="0" w:space="0" w:color="auto"/>
        <w:right w:val="none" w:sz="0" w:space="0" w:color="auto"/>
      </w:divBdr>
      <w:divsChild>
        <w:div w:id="1424258334">
          <w:marLeft w:val="0"/>
          <w:marRight w:val="0"/>
          <w:marTop w:val="0"/>
          <w:marBottom w:val="0"/>
          <w:divBdr>
            <w:top w:val="none" w:sz="0" w:space="0" w:color="auto"/>
            <w:left w:val="none" w:sz="0" w:space="0" w:color="auto"/>
            <w:bottom w:val="none" w:sz="0" w:space="0" w:color="auto"/>
            <w:right w:val="none" w:sz="0" w:space="0" w:color="auto"/>
          </w:divBdr>
        </w:div>
      </w:divsChild>
    </w:div>
    <w:div w:id="1009602450">
      <w:bodyDiv w:val="1"/>
      <w:marLeft w:val="0"/>
      <w:marRight w:val="0"/>
      <w:marTop w:val="0"/>
      <w:marBottom w:val="0"/>
      <w:divBdr>
        <w:top w:val="none" w:sz="0" w:space="0" w:color="auto"/>
        <w:left w:val="none" w:sz="0" w:space="0" w:color="auto"/>
        <w:bottom w:val="none" w:sz="0" w:space="0" w:color="auto"/>
        <w:right w:val="none" w:sz="0" w:space="0" w:color="auto"/>
      </w:divBdr>
      <w:divsChild>
        <w:div w:id="454177557">
          <w:marLeft w:val="0"/>
          <w:marRight w:val="0"/>
          <w:marTop w:val="0"/>
          <w:marBottom w:val="0"/>
          <w:divBdr>
            <w:top w:val="none" w:sz="0" w:space="0" w:color="auto"/>
            <w:left w:val="none" w:sz="0" w:space="0" w:color="auto"/>
            <w:bottom w:val="none" w:sz="0" w:space="0" w:color="auto"/>
            <w:right w:val="none" w:sz="0" w:space="0" w:color="auto"/>
          </w:divBdr>
        </w:div>
      </w:divsChild>
    </w:div>
    <w:div w:id="1056708235">
      <w:bodyDiv w:val="1"/>
      <w:marLeft w:val="0"/>
      <w:marRight w:val="0"/>
      <w:marTop w:val="0"/>
      <w:marBottom w:val="0"/>
      <w:divBdr>
        <w:top w:val="none" w:sz="0" w:space="0" w:color="auto"/>
        <w:left w:val="none" w:sz="0" w:space="0" w:color="auto"/>
        <w:bottom w:val="none" w:sz="0" w:space="0" w:color="auto"/>
        <w:right w:val="none" w:sz="0" w:space="0" w:color="auto"/>
      </w:divBdr>
      <w:divsChild>
        <w:div w:id="850295374">
          <w:marLeft w:val="0"/>
          <w:marRight w:val="0"/>
          <w:marTop w:val="0"/>
          <w:marBottom w:val="0"/>
          <w:divBdr>
            <w:top w:val="none" w:sz="0" w:space="0" w:color="auto"/>
            <w:left w:val="none" w:sz="0" w:space="0" w:color="auto"/>
            <w:bottom w:val="none" w:sz="0" w:space="0" w:color="auto"/>
            <w:right w:val="none" w:sz="0" w:space="0" w:color="auto"/>
          </w:divBdr>
        </w:div>
      </w:divsChild>
    </w:div>
    <w:div w:id="1215584936">
      <w:bodyDiv w:val="1"/>
      <w:marLeft w:val="0"/>
      <w:marRight w:val="0"/>
      <w:marTop w:val="0"/>
      <w:marBottom w:val="0"/>
      <w:divBdr>
        <w:top w:val="none" w:sz="0" w:space="0" w:color="auto"/>
        <w:left w:val="none" w:sz="0" w:space="0" w:color="auto"/>
        <w:bottom w:val="none" w:sz="0" w:space="0" w:color="auto"/>
        <w:right w:val="none" w:sz="0" w:space="0" w:color="auto"/>
      </w:divBdr>
      <w:divsChild>
        <w:div w:id="1635597251">
          <w:marLeft w:val="0"/>
          <w:marRight w:val="0"/>
          <w:marTop w:val="0"/>
          <w:marBottom w:val="0"/>
          <w:divBdr>
            <w:top w:val="none" w:sz="0" w:space="0" w:color="auto"/>
            <w:left w:val="none" w:sz="0" w:space="0" w:color="auto"/>
            <w:bottom w:val="none" w:sz="0" w:space="0" w:color="auto"/>
            <w:right w:val="none" w:sz="0" w:space="0" w:color="auto"/>
          </w:divBdr>
        </w:div>
      </w:divsChild>
    </w:div>
    <w:div w:id="1277715756">
      <w:bodyDiv w:val="1"/>
      <w:marLeft w:val="0"/>
      <w:marRight w:val="0"/>
      <w:marTop w:val="0"/>
      <w:marBottom w:val="0"/>
      <w:divBdr>
        <w:top w:val="none" w:sz="0" w:space="0" w:color="auto"/>
        <w:left w:val="none" w:sz="0" w:space="0" w:color="auto"/>
        <w:bottom w:val="none" w:sz="0" w:space="0" w:color="auto"/>
        <w:right w:val="none" w:sz="0" w:space="0" w:color="auto"/>
      </w:divBdr>
      <w:divsChild>
        <w:div w:id="728723095">
          <w:marLeft w:val="0"/>
          <w:marRight w:val="0"/>
          <w:marTop w:val="0"/>
          <w:marBottom w:val="0"/>
          <w:divBdr>
            <w:top w:val="none" w:sz="0" w:space="0" w:color="auto"/>
            <w:left w:val="none" w:sz="0" w:space="0" w:color="auto"/>
            <w:bottom w:val="none" w:sz="0" w:space="0" w:color="auto"/>
            <w:right w:val="none" w:sz="0" w:space="0" w:color="auto"/>
          </w:divBdr>
        </w:div>
      </w:divsChild>
    </w:div>
    <w:div w:id="1361126128">
      <w:bodyDiv w:val="1"/>
      <w:marLeft w:val="0"/>
      <w:marRight w:val="0"/>
      <w:marTop w:val="0"/>
      <w:marBottom w:val="0"/>
      <w:divBdr>
        <w:top w:val="none" w:sz="0" w:space="0" w:color="auto"/>
        <w:left w:val="none" w:sz="0" w:space="0" w:color="auto"/>
        <w:bottom w:val="none" w:sz="0" w:space="0" w:color="auto"/>
        <w:right w:val="none" w:sz="0" w:space="0" w:color="auto"/>
      </w:divBdr>
      <w:divsChild>
        <w:div w:id="1525703566">
          <w:marLeft w:val="0"/>
          <w:marRight w:val="0"/>
          <w:marTop w:val="0"/>
          <w:marBottom w:val="0"/>
          <w:divBdr>
            <w:top w:val="none" w:sz="0" w:space="0" w:color="auto"/>
            <w:left w:val="none" w:sz="0" w:space="0" w:color="auto"/>
            <w:bottom w:val="none" w:sz="0" w:space="0" w:color="auto"/>
            <w:right w:val="none" w:sz="0" w:space="0" w:color="auto"/>
          </w:divBdr>
        </w:div>
      </w:divsChild>
    </w:div>
    <w:div w:id="1389574047">
      <w:bodyDiv w:val="1"/>
      <w:marLeft w:val="0"/>
      <w:marRight w:val="0"/>
      <w:marTop w:val="0"/>
      <w:marBottom w:val="0"/>
      <w:divBdr>
        <w:top w:val="none" w:sz="0" w:space="0" w:color="auto"/>
        <w:left w:val="none" w:sz="0" w:space="0" w:color="auto"/>
        <w:bottom w:val="none" w:sz="0" w:space="0" w:color="auto"/>
        <w:right w:val="none" w:sz="0" w:space="0" w:color="auto"/>
      </w:divBdr>
      <w:divsChild>
        <w:div w:id="1218861681">
          <w:marLeft w:val="0"/>
          <w:marRight w:val="0"/>
          <w:marTop w:val="0"/>
          <w:marBottom w:val="0"/>
          <w:divBdr>
            <w:top w:val="none" w:sz="0" w:space="0" w:color="auto"/>
            <w:left w:val="none" w:sz="0" w:space="0" w:color="auto"/>
            <w:bottom w:val="none" w:sz="0" w:space="0" w:color="auto"/>
            <w:right w:val="none" w:sz="0" w:space="0" w:color="auto"/>
          </w:divBdr>
        </w:div>
        <w:div w:id="22446061">
          <w:marLeft w:val="0"/>
          <w:marRight w:val="0"/>
          <w:marTop w:val="0"/>
          <w:marBottom w:val="0"/>
          <w:divBdr>
            <w:top w:val="none" w:sz="0" w:space="0" w:color="auto"/>
            <w:left w:val="none" w:sz="0" w:space="0" w:color="auto"/>
            <w:bottom w:val="none" w:sz="0" w:space="0" w:color="auto"/>
            <w:right w:val="none" w:sz="0" w:space="0" w:color="auto"/>
          </w:divBdr>
        </w:div>
      </w:divsChild>
    </w:div>
    <w:div w:id="1471819804">
      <w:bodyDiv w:val="1"/>
      <w:marLeft w:val="0"/>
      <w:marRight w:val="0"/>
      <w:marTop w:val="0"/>
      <w:marBottom w:val="0"/>
      <w:divBdr>
        <w:top w:val="none" w:sz="0" w:space="0" w:color="auto"/>
        <w:left w:val="none" w:sz="0" w:space="0" w:color="auto"/>
        <w:bottom w:val="none" w:sz="0" w:space="0" w:color="auto"/>
        <w:right w:val="none" w:sz="0" w:space="0" w:color="auto"/>
      </w:divBdr>
      <w:divsChild>
        <w:div w:id="1099446969">
          <w:marLeft w:val="0"/>
          <w:marRight w:val="0"/>
          <w:marTop w:val="0"/>
          <w:marBottom w:val="0"/>
          <w:divBdr>
            <w:top w:val="none" w:sz="0" w:space="0" w:color="auto"/>
            <w:left w:val="none" w:sz="0" w:space="0" w:color="auto"/>
            <w:bottom w:val="none" w:sz="0" w:space="0" w:color="auto"/>
            <w:right w:val="none" w:sz="0" w:space="0" w:color="auto"/>
          </w:divBdr>
        </w:div>
      </w:divsChild>
    </w:div>
    <w:div w:id="1516579856">
      <w:bodyDiv w:val="1"/>
      <w:marLeft w:val="0"/>
      <w:marRight w:val="0"/>
      <w:marTop w:val="0"/>
      <w:marBottom w:val="0"/>
      <w:divBdr>
        <w:top w:val="none" w:sz="0" w:space="0" w:color="auto"/>
        <w:left w:val="none" w:sz="0" w:space="0" w:color="auto"/>
        <w:bottom w:val="none" w:sz="0" w:space="0" w:color="auto"/>
        <w:right w:val="none" w:sz="0" w:space="0" w:color="auto"/>
      </w:divBdr>
      <w:divsChild>
        <w:div w:id="1565216499">
          <w:marLeft w:val="0"/>
          <w:marRight w:val="0"/>
          <w:marTop w:val="0"/>
          <w:marBottom w:val="0"/>
          <w:divBdr>
            <w:top w:val="none" w:sz="0" w:space="0" w:color="auto"/>
            <w:left w:val="none" w:sz="0" w:space="0" w:color="auto"/>
            <w:bottom w:val="none" w:sz="0" w:space="0" w:color="auto"/>
            <w:right w:val="none" w:sz="0" w:space="0" w:color="auto"/>
          </w:divBdr>
        </w:div>
      </w:divsChild>
    </w:div>
    <w:div w:id="1758593576">
      <w:bodyDiv w:val="1"/>
      <w:marLeft w:val="0"/>
      <w:marRight w:val="0"/>
      <w:marTop w:val="0"/>
      <w:marBottom w:val="0"/>
      <w:divBdr>
        <w:top w:val="none" w:sz="0" w:space="0" w:color="auto"/>
        <w:left w:val="none" w:sz="0" w:space="0" w:color="auto"/>
        <w:bottom w:val="none" w:sz="0" w:space="0" w:color="auto"/>
        <w:right w:val="none" w:sz="0" w:space="0" w:color="auto"/>
      </w:divBdr>
      <w:divsChild>
        <w:div w:id="1628198497">
          <w:marLeft w:val="0"/>
          <w:marRight w:val="0"/>
          <w:marTop w:val="0"/>
          <w:marBottom w:val="0"/>
          <w:divBdr>
            <w:top w:val="none" w:sz="0" w:space="0" w:color="auto"/>
            <w:left w:val="none" w:sz="0" w:space="0" w:color="auto"/>
            <w:bottom w:val="none" w:sz="0" w:space="0" w:color="auto"/>
            <w:right w:val="none" w:sz="0" w:space="0" w:color="auto"/>
          </w:divBdr>
        </w:div>
      </w:divsChild>
    </w:div>
    <w:div w:id="1809394943">
      <w:bodyDiv w:val="1"/>
      <w:marLeft w:val="0"/>
      <w:marRight w:val="0"/>
      <w:marTop w:val="0"/>
      <w:marBottom w:val="0"/>
      <w:divBdr>
        <w:top w:val="none" w:sz="0" w:space="0" w:color="auto"/>
        <w:left w:val="none" w:sz="0" w:space="0" w:color="auto"/>
        <w:bottom w:val="none" w:sz="0" w:space="0" w:color="auto"/>
        <w:right w:val="none" w:sz="0" w:space="0" w:color="auto"/>
      </w:divBdr>
      <w:divsChild>
        <w:div w:id="1389379341">
          <w:marLeft w:val="0"/>
          <w:marRight w:val="0"/>
          <w:marTop w:val="0"/>
          <w:marBottom w:val="0"/>
          <w:divBdr>
            <w:top w:val="none" w:sz="0" w:space="0" w:color="auto"/>
            <w:left w:val="none" w:sz="0" w:space="0" w:color="auto"/>
            <w:bottom w:val="none" w:sz="0" w:space="0" w:color="auto"/>
            <w:right w:val="none" w:sz="0" w:space="0" w:color="auto"/>
          </w:divBdr>
        </w:div>
      </w:divsChild>
    </w:div>
    <w:div w:id="1838113168">
      <w:bodyDiv w:val="1"/>
      <w:marLeft w:val="0"/>
      <w:marRight w:val="0"/>
      <w:marTop w:val="0"/>
      <w:marBottom w:val="0"/>
      <w:divBdr>
        <w:top w:val="none" w:sz="0" w:space="0" w:color="auto"/>
        <w:left w:val="none" w:sz="0" w:space="0" w:color="auto"/>
        <w:bottom w:val="none" w:sz="0" w:space="0" w:color="auto"/>
        <w:right w:val="none" w:sz="0" w:space="0" w:color="auto"/>
      </w:divBdr>
      <w:divsChild>
        <w:div w:id="1971859882">
          <w:marLeft w:val="0"/>
          <w:marRight w:val="0"/>
          <w:marTop w:val="0"/>
          <w:marBottom w:val="0"/>
          <w:divBdr>
            <w:top w:val="none" w:sz="0" w:space="0" w:color="auto"/>
            <w:left w:val="none" w:sz="0" w:space="0" w:color="auto"/>
            <w:bottom w:val="none" w:sz="0" w:space="0" w:color="auto"/>
            <w:right w:val="none" w:sz="0" w:space="0" w:color="auto"/>
          </w:divBdr>
        </w:div>
      </w:divsChild>
    </w:div>
    <w:div w:id="1848210628">
      <w:bodyDiv w:val="1"/>
      <w:marLeft w:val="0"/>
      <w:marRight w:val="0"/>
      <w:marTop w:val="0"/>
      <w:marBottom w:val="0"/>
      <w:divBdr>
        <w:top w:val="none" w:sz="0" w:space="0" w:color="auto"/>
        <w:left w:val="none" w:sz="0" w:space="0" w:color="auto"/>
        <w:bottom w:val="none" w:sz="0" w:space="0" w:color="auto"/>
        <w:right w:val="none" w:sz="0" w:space="0" w:color="auto"/>
      </w:divBdr>
      <w:divsChild>
        <w:div w:id="1122186093">
          <w:marLeft w:val="0"/>
          <w:marRight w:val="0"/>
          <w:marTop w:val="0"/>
          <w:marBottom w:val="0"/>
          <w:divBdr>
            <w:top w:val="none" w:sz="0" w:space="0" w:color="auto"/>
            <w:left w:val="none" w:sz="0" w:space="0" w:color="auto"/>
            <w:bottom w:val="none" w:sz="0" w:space="0" w:color="auto"/>
            <w:right w:val="none" w:sz="0" w:space="0" w:color="auto"/>
          </w:divBdr>
        </w:div>
      </w:divsChild>
    </w:div>
    <w:div w:id="1937984561">
      <w:bodyDiv w:val="1"/>
      <w:marLeft w:val="0"/>
      <w:marRight w:val="0"/>
      <w:marTop w:val="0"/>
      <w:marBottom w:val="0"/>
      <w:divBdr>
        <w:top w:val="none" w:sz="0" w:space="0" w:color="auto"/>
        <w:left w:val="none" w:sz="0" w:space="0" w:color="auto"/>
        <w:bottom w:val="none" w:sz="0" w:space="0" w:color="auto"/>
        <w:right w:val="none" w:sz="0" w:space="0" w:color="auto"/>
      </w:divBdr>
      <w:divsChild>
        <w:div w:id="479738146">
          <w:marLeft w:val="0"/>
          <w:marRight w:val="0"/>
          <w:marTop w:val="0"/>
          <w:marBottom w:val="0"/>
          <w:divBdr>
            <w:top w:val="none" w:sz="0" w:space="0" w:color="auto"/>
            <w:left w:val="none" w:sz="0" w:space="0" w:color="auto"/>
            <w:bottom w:val="none" w:sz="0" w:space="0" w:color="auto"/>
            <w:right w:val="none" w:sz="0" w:space="0" w:color="auto"/>
          </w:divBdr>
        </w:div>
      </w:divsChild>
    </w:div>
    <w:div w:id="2020691968">
      <w:bodyDiv w:val="1"/>
      <w:marLeft w:val="0"/>
      <w:marRight w:val="0"/>
      <w:marTop w:val="0"/>
      <w:marBottom w:val="0"/>
      <w:divBdr>
        <w:top w:val="none" w:sz="0" w:space="0" w:color="auto"/>
        <w:left w:val="none" w:sz="0" w:space="0" w:color="auto"/>
        <w:bottom w:val="none" w:sz="0" w:space="0" w:color="auto"/>
        <w:right w:val="none" w:sz="0" w:space="0" w:color="auto"/>
      </w:divBdr>
      <w:divsChild>
        <w:div w:id="1698892250">
          <w:marLeft w:val="0"/>
          <w:marRight w:val="0"/>
          <w:marTop w:val="0"/>
          <w:marBottom w:val="0"/>
          <w:divBdr>
            <w:top w:val="none" w:sz="0" w:space="0" w:color="auto"/>
            <w:left w:val="none" w:sz="0" w:space="0" w:color="auto"/>
            <w:bottom w:val="none" w:sz="0" w:space="0" w:color="auto"/>
            <w:right w:val="none" w:sz="0" w:space="0" w:color="auto"/>
          </w:divBdr>
        </w:div>
      </w:divsChild>
    </w:div>
    <w:div w:id="2028363106">
      <w:bodyDiv w:val="1"/>
      <w:marLeft w:val="0"/>
      <w:marRight w:val="0"/>
      <w:marTop w:val="0"/>
      <w:marBottom w:val="0"/>
      <w:divBdr>
        <w:top w:val="none" w:sz="0" w:space="0" w:color="auto"/>
        <w:left w:val="none" w:sz="0" w:space="0" w:color="auto"/>
        <w:bottom w:val="none" w:sz="0" w:space="0" w:color="auto"/>
        <w:right w:val="none" w:sz="0" w:space="0" w:color="auto"/>
      </w:divBdr>
      <w:divsChild>
        <w:div w:id="949893971">
          <w:marLeft w:val="0"/>
          <w:marRight w:val="0"/>
          <w:marTop w:val="0"/>
          <w:marBottom w:val="0"/>
          <w:divBdr>
            <w:top w:val="none" w:sz="0" w:space="0" w:color="auto"/>
            <w:left w:val="none" w:sz="0" w:space="0" w:color="auto"/>
            <w:bottom w:val="none" w:sz="0" w:space="0" w:color="auto"/>
            <w:right w:val="none" w:sz="0" w:space="0" w:color="auto"/>
          </w:divBdr>
        </w:div>
      </w:divsChild>
    </w:div>
    <w:div w:id="2056275836">
      <w:bodyDiv w:val="1"/>
      <w:marLeft w:val="0"/>
      <w:marRight w:val="0"/>
      <w:marTop w:val="0"/>
      <w:marBottom w:val="0"/>
      <w:divBdr>
        <w:top w:val="none" w:sz="0" w:space="0" w:color="auto"/>
        <w:left w:val="none" w:sz="0" w:space="0" w:color="auto"/>
        <w:bottom w:val="none" w:sz="0" w:space="0" w:color="auto"/>
        <w:right w:val="none" w:sz="0" w:space="0" w:color="auto"/>
      </w:divBdr>
      <w:divsChild>
        <w:div w:id="10105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ld.tisbi.ru/science/vestnik/2001/issue1/snos1.html" TargetMode="External"/><Relationship Id="rId21" Type="http://schemas.openxmlformats.org/officeDocument/2006/relationships/hyperlink" Target="http://old.tisbi.ru/science/vestnik/2001/issue1/snos1.htm" TargetMode="External"/><Relationship Id="rId42" Type="http://schemas.openxmlformats.org/officeDocument/2006/relationships/hyperlink" Target="http://old.tisbi.ru/science/vestnik/2001/issue1/snos1.htm" TargetMode="External"/><Relationship Id="rId47" Type="http://schemas.openxmlformats.org/officeDocument/2006/relationships/hyperlink" Target="http://old.tisbi.ru/science/vestnik/2001/issue1/snos1.htm" TargetMode="External"/><Relationship Id="rId63" Type="http://schemas.openxmlformats.org/officeDocument/2006/relationships/hyperlink" Target="http://old.tisbi.ru/science/vestnik/2001/issue1/snos1.html" TargetMode="External"/><Relationship Id="rId68" Type="http://schemas.openxmlformats.org/officeDocument/2006/relationships/hyperlink" Target="http://old.tisbi.ru/science/vestnik/2001/issue1/snos1.html" TargetMode="External"/><Relationship Id="rId84" Type="http://schemas.openxmlformats.org/officeDocument/2006/relationships/hyperlink" Target="http://old.tisbi.ru/science/vestnik/2001/issue1/snos1.html" TargetMode="External"/><Relationship Id="rId89" Type="http://schemas.openxmlformats.org/officeDocument/2006/relationships/hyperlink" Target="http://old.tisbi.ru/science/vestnik/2001/issue1/snos1.html" TargetMode="External"/><Relationship Id="rId112" Type="http://schemas.openxmlformats.org/officeDocument/2006/relationships/hyperlink" Target="http://old.tisbi.ru/science/vestnik/2001/issue1/snos1.html" TargetMode="External"/><Relationship Id="rId133" Type="http://schemas.openxmlformats.org/officeDocument/2006/relationships/hyperlink" Target="http://old.tisbi.ru/science/vestnik/2001/issue1/snos1.html" TargetMode="External"/><Relationship Id="rId138" Type="http://schemas.openxmlformats.org/officeDocument/2006/relationships/hyperlink" Target="http://old.tisbi.ru/science/vestnik/2001/issue1/snos1.html" TargetMode="External"/><Relationship Id="rId154" Type="http://schemas.openxmlformats.org/officeDocument/2006/relationships/hyperlink" Target="http://old.tisbi.ru/science/vestnik/2001/issue1/snos1.html" TargetMode="External"/><Relationship Id="rId159" Type="http://schemas.openxmlformats.org/officeDocument/2006/relationships/hyperlink" Target="http://old.tisbi.ru/science/vestnik/2001/issue1/snos1.html" TargetMode="External"/><Relationship Id="rId175" Type="http://schemas.openxmlformats.org/officeDocument/2006/relationships/hyperlink" Target="http://old.tisbi.ru/science/vestnik/2001/issue1/snos1.html" TargetMode="External"/><Relationship Id="rId170" Type="http://schemas.openxmlformats.org/officeDocument/2006/relationships/hyperlink" Target="http://old.tisbi.ru/science/vestnik/2001/issue1/snos1.html" TargetMode="External"/><Relationship Id="rId191" Type="http://schemas.openxmlformats.org/officeDocument/2006/relationships/hyperlink" Target="http://old.tisbi.ru/science/vestnik/2001/issue1/snos1.html" TargetMode="External"/><Relationship Id="rId196" Type="http://schemas.openxmlformats.org/officeDocument/2006/relationships/theme" Target="theme/theme1.xml"/><Relationship Id="rId16" Type="http://schemas.openxmlformats.org/officeDocument/2006/relationships/hyperlink" Target="http://old.tisbi.ru/science/vestnik/2001/issue1/snos1.htm" TargetMode="External"/><Relationship Id="rId107" Type="http://schemas.openxmlformats.org/officeDocument/2006/relationships/hyperlink" Target="http://old.tisbi.ru/science/vestnik/2001/issue1/snos1.html" TargetMode="External"/><Relationship Id="rId11" Type="http://schemas.openxmlformats.org/officeDocument/2006/relationships/hyperlink" Target="http://old.tisbi.ru/science/vestnik/2001/issue1/snos1.htm" TargetMode="External"/><Relationship Id="rId32" Type="http://schemas.openxmlformats.org/officeDocument/2006/relationships/hyperlink" Target="http://old.tisbi.ru/science/vestnik/2001/issue1/snos1.htm" TargetMode="External"/><Relationship Id="rId37" Type="http://schemas.openxmlformats.org/officeDocument/2006/relationships/hyperlink" Target="http://old.tisbi.ru/science/vestnik/2001/issue1/snos1.htm" TargetMode="External"/><Relationship Id="rId53" Type="http://schemas.openxmlformats.org/officeDocument/2006/relationships/hyperlink" Target="http://old.tisbi.ru/science/vestnik/2001/issue1/snos1.html" TargetMode="External"/><Relationship Id="rId58" Type="http://schemas.openxmlformats.org/officeDocument/2006/relationships/hyperlink" Target="http://old.tisbi.ru/science/vestnik/2001/issue1/snos1.html" TargetMode="External"/><Relationship Id="rId74" Type="http://schemas.openxmlformats.org/officeDocument/2006/relationships/hyperlink" Target="http://old.tisbi.ru/science/vestnik/2001/issue1/snos1.html" TargetMode="External"/><Relationship Id="rId79" Type="http://schemas.openxmlformats.org/officeDocument/2006/relationships/hyperlink" Target="http://old.tisbi.ru/science/vestnik/2001/issue1/snos1.html" TargetMode="External"/><Relationship Id="rId102" Type="http://schemas.openxmlformats.org/officeDocument/2006/relationships/hyperlink" Target="http://old.tisbi.ru/science/vestnik/2001/issue1/snos1.html" TargetMode="External"/><Relationship Id="rId123" Type="http://schemas.openxmlformats.org/officeDocument/2006/relationships/hyperlink" Target="http://old.tisbi.ru/science/vestnik/2001/issue1/snos1.html" TargetMode="External"/><Relationship Id="rId128" Type="http://schemas.openxmlformats.org/officeDocument/2006/relationships/hyperlink" Target="http://old.tisbi.ru/science/vestnik/2001/issue1/snos1.html" TargetMode="External"/><Relationship Id="rId144" Type="http://schemas.openxmlformats.org/officeDocument/2006/relationships/hyperlink" Target="http://old.tisbi.ru/science/vestnik/2001/issue1/snos1.html" TargetMode="External"/><Relationship Id="rId149" Type="http://schemas.openxmlformats.org/officeDocument/2006/relationships/hyperlink" Target="http://old.tisbi.ru/science/vestnik/2001/issue1/snos1.html" TargetMode="External"/><Relationship Id="rId5" Type="http://schemas.openxmlformats.org/officeDocument/2006/relationships/hyperlink" Target="http://old.tisbi.ru/science/vestnik/2001/issue1/snos1.htm" TargetMode="External"/><Relationship Id="rId90" Type="http://schemas.openxmlformats.org/officeDocument/2006/relationships/hyperlink" Target="http://old.tisbi.ru/science/vestnik/2001/issue1/snos1.html" TargetMode="External"/><Relationship Id="rId95" Type="http://schemas.openxmlformats.org/officeDocument/2006/relationships/hyperlink" Target="http://old.tisbi.ru/science/vestnik/2001/issue1/snos1.html" TargetMode="External"/><Relationship Id="rId160" Type="http://schemas.openxmlformats.org/officeDocument/2006/relationships/hyperlink" Target="http://old.tisbi.ru/science/vestnik/2001/issue1/snos1.html" TargetMode="External"/><Relationship Id="rId165" Type="http://schemas.openxmlformats.org/officeDocument/2006/relationships/hyperlink" Target="http://old.tisbi.ru/science/vestnik/2001/issue1/snos1.html" TargetMode="External"/><Relationship Id="rId181" Type="http://schemas.openxmlformats.org/officeDocument/2006/relationships/hyperlink" Target="http://old.tisbi.ru/science/vestnik/2001/issue1/snos1.html" TargetMode="External"/><Relationship Id="rId186" Type="http://schemas.openxmlformats.org/officeDocument/2006/relationships/hyperlink" Target="http://old.tisbi.ru/science/vestnik/2001/issue1/snos1.html" TargetMode="External"/><Relationship Id="rId22" Type="http://schemas.openxmlformats.org/officeDocument/2006/relationships/hyperlink" Target="http://old.tisbi.ru/science/vestnik/2001/issue1/snos1.htm" TargetMode="External"/><Relationship Id="rId27" Type="http://schemas.openxmlformats.org/officeDocument/2006/relationships/hyperlink" Target="http://old.tisbi.ru/science/vestnik/2001/issue1/snos1.htm" TargetMode="External"/><Relationship Id="rId43" Type="http://schemas.openxmlformats.org/officeDocument/2006/relationships/hyperlink" Target="http://old.tisbi.ru/science/vestnik/2001/issue1/snos1.htm" TargetMode="External"/><Relationship Id="rId48" Type="http://schemas.openxmlformats.org/officeDocument/2006/relationships/hyperlink" Target="http://old.tisbi.ru/science/vestnik/2001/issue1/snos1.htm" TargetMode="External"/><Relationship Id="rId64" Type="http://schemas.openxmlformats.org/officeDocument/2006/relationships/hyperlink" Target="http://old.tisbi.ru/science/vestnik/2001/issue1/snos1.html" TargetMode="External"/><Relationship Id="rId69" Type="http://schemas.openxmlformats.org/officeDocument/2006/relationships/hyperlink" Target="http://old.tisbi.ru/science/vestnik/2001/issue1/snos1.html" TargetMode="External"/><Relationship Id="rId113" Type="http://schemas.openxmlformats.org/officeDocument/2006/relationships/hyperlink" Target="http://old.tisbi.ru/science/vestnik/2001/issue1/snos1.html" TargetMode="External"/><Relationship Id="rId118" Type="http://schemas.openxmlformats.org/officeDocument/2006/relationships/hyperlink" Target="http://old.tisbi.ru/science/vestnik/2001/issue1/snos1.html" TargetMode="External"/><Relationship Id="rId134" Type="http://schemas.openxmlformats.org/officeDocument/2006/relationships/hyperlink" Target="http://old.tisbi.ru/science/vestnik/2001/issue1/snos1.html" TargetMode="External"/><Relationship Id="rId139" Type="http://schemas.openxmlformats.org/officeDocument/2006/relationships/hyperlink" Target="http://old.tisbi.ru/science/vestnik/2001/issue1/snos1.html" TargetMode="External"/><Relationship Id="rId80" Type="http://schemas.openxmlformats.org/officeDocument/2006/relationships/hyperlink" Target="http://old.tisbi.ru/science/vestnik/2001/issue1/snos1.html" TargetMode="External"/><Relationship Id="rId85" Type="http://schemas.openxmlformats.org/officeDocument/2006/relationships/hyperlink" Target="http://old.tisbi.ru/science/vestnik/2001/issue1/snos1.html" TargetMode="External"/><Relationship Id="rId150" Type="http://schemas.openxmlformats.org/officeDocument/2006/relationships/hyperlink" Target="http://old.tisbi.ru/science/vestnik/2001/issue1/snos1.html" TargetMode="External"/><Relationship Id="rId155" Type="http://schemas.openxmlformats.org/officeDocument/2006/relationships/hyperlink" Target="http://old.tisbi.ru/science/vestnik/2001/issue1/snos1.html" TargetMode="External"/><Relationship Id="rId171" Type="http://schemas.openxmlformats.org/officeDocument/2006/relationships/hyperlink" Target="http://old.tisbi.ru/science/vestnik/2001/issue1/snos1.html" TargetMode="External"/><Relationship Id="rId176" Type="http://schemas.openxmlformats.org/officeDocument/2006/relationships/hyperlink" Target="http://old.tisbi.ru/science/vestnik/2001/issue1/snos1.html" TargetMode="External"/><Relationship Id="rId192" Type="http://schemas.openxmlformats.org/officeDocument/2006/relationships/hyperlink" Target="http://old.tisbi.ru/science/vestnik/2001/issue1/snos1.html" TargetMode="External"/><Relationship Id="rId12" Type="http://schemas.openxmlformats.org/officeDocument/2006/relationships/hyperlink" Target="http://old.tisbi.ru/science/vestnik/2001/issue1/snos1.htm" TargetMode="External"/><Relationship Id="rId17" Type="http://schemas.openxmlformats.org/officeDocument/2006/relationships/hyperlink" Target="http://old.tisbi.ru/science/vestnik/2001/issue1/snos1.htm" TargetMode="External"/><Relationship Id="rId33" Type="http://schemas.openxmlformats.org/officeDocument/2006/relationships/hyperlink" Target="http://old.tisbi.ru/science/vestnik/2001/issue1/snos1.htm" TargetMode="External"/><Relationship Id="rId38" Type="http://schemas.openxmlformats.org/officeDocument/2006/relationships/hyperlink" Target="http://old.tisbi.ru/science/vestnik/2001/issue1/snos1.htm" TargetMode="External"/><Relationship Id="rId59" Type="http://schemas.openxmlformats.org/officeDocument/2006/relationships/hyperlink" Target="http://old.tisbi.ru/science/vestnik/2001/issue1/snos1.html" TargetMode="External"/><Relationship Id="rId103" Type="http://schemas.openxmlformats.org/officeDocument/2006/relationships/hyperlink" Target="http://old.tisbi.ru/science/vestnik/2001/issue1/snos1.html" TargetMode="External"/><Relationship Id="rId108" Type="http://schemas.openxmlformats.org/officeDocument/2006/relationships/hyperlink" Target="http://old.tisbi.ru/science/vestnik/2001/issue1/snos1.html" TargetMode="External"/><Relationship Id="rId124" Type="http://schemas.openxmlformats.org/officeDocument/2006/relationships/hyperlink" Target="http://old.tisbi.ru/science/vestnik/2001/issue1/snos1.html" TargetMode="External"/><Relationship Id="rId129" Type="http://schemas.openxmlformats.org/officeDocument/2006/relationships/hyperlink" Target="http://old.tisbi.ru/science/vestnik/2001/issue1/snos1.html" TargetMode="External"/><Relationship Id="rId54" Type="http://schemas.openxmlformats.org/officeDocument/2006/relationships/hyperlink" Target="http://old.tisbi.ru/science/vestnik/2001/issue1/snos1.html" TargetMode="External"/><Relationship Id="rId70" Type="http://schemas.openxmlformats.org/officeDocument/2006/relationships/hyperlink" Target="http://old.tisbi.ru/science/vestnik/2001/issue1/snos1.html" TargetMode="External"/><Relationship Id="rId75" Type="http://schemas.openxmlformats.org/officeDocument/2006/relationships/hyperlink" Target="http://old.tisbi.ru/science/vestnik/2001/issue1/snos1.html" TargetMode="External"/><Relationship Id="rId91" Type="http://schemas.openxmlformats.org/officeDocument/2006/relationships/hyperlink" Target="http://old.tisbi.ru/science/vestnik/2001/issue1/snos1.html" TargetMode="External"/><Relationship Id="rId96" Type="http://schemas.openxmlformats.org/officeDocument/2006/relationships/hyperlink" Target="http://old.tisbi.ru/science/vestnik/2001/issue1/snos1.html" TargetMode="External"/><Relationship Id="rId140" Type="http://schemas.openxmlformats.org/officeDocument/2006/relationships/hyperlink" Target="http://old.tisbi.ru/science/vestnik/2001/issue1/snos1.html" TargetMode="External"/><Relationship Id="rId145" Type="http://schemas.openxmlformats.org/officeDocument/2006/relationships/hyperlink" Target="http://old.tisbi.ru/science/vestnik/2001/issue1/snos1.html" TargetMode="External"/><Relationship Id="rId161" Type="http://schemas.openxmlformats.org/officeDocument/2006/relationships/hyperlink" Target="http://old.tisbi.ru/science/vestnik/2001/issue1/snos1.html" TargetMode="External"/><Relationship Id="rId166" Type="http://schemas.openxmlformats.org/officeDocument/2006/relationships/hyperlink" Target="http://old.tisbi.ru/science/vestnik/2001/issue1/snos1.html" TargetMode="External"/><Relationship Id="rId182" Type="http://schemas.openxmlformats.org/officeDocument/2006/relationships/hyperlink" Target="http://old.tisbi.ru/science/vestnik/2001/issue1/snos1.html" TargetMode="External"/><Relationship Id="rId187" Type="http://schemas.openxmlformats.org/officeDocument/2006/relationships/hyperlink" Target="http://old.tisbi.ru/science/vestnik/2001/issue1/snos1.html" TargetMode="External"/><Relationship Id="rId1" Type="http://schemas.openxmlformats.org/officeDocument/2006/relationships/numbering" Target="numbering.xml"/><Relationship Id="rId6" Type="http://schemas.openxmlformats.org/officeDocument/2006/relationships/hyperlink" Target="http://old.tisbi.ru/science/vestnik/2001/issue1/snos1.htm" TargetMode="External"/><Relationship Id="rId23" Type="http://schemas.openxmlformats.org/officeDocument/2006/relationships/hyperlink" Target="http://old.tisbi.ru/science/vestnik/2001/issue1/snos1.htm" TargetMode="External"/><Relationship Id="rId28" Type="http://schemas.openxmlformats.org/officeDocument/2006/relationships/hyperlink" Target="http://old.tisbi.ru/science/vestnik/2001/issue1/snos1.htm" TargetMode="External"/><Relationship Id="rId49" Type="http://schemas.openxmlformats.org/officeDocument/2006/relationships/hyperlink" Target="http://old.tisbi.ru/science/vestnik/2001/issue1/snos1.htm" TargetMode="External"/><Relationship Id="rId114" Type="http://schemas.openxmlformats.org/officeDocument/2006/relationships/hyperlink" Target="http://old.tisbi.ru/science/vestnik/2001/issue1/snos1.html" TargetMode="External"/><Relationship Id="rId119" Type="http://schemas.openxmlformats.org/officeDocument/2006/relationships/hyperlink" Target="http://old.tisbi.ru/science/vestnik/2001/issue1/snos1.html" TargetMode="External"/><Relationship Id="rId44" Type="http://schemas.openxmlformats.org/officeDocument/2006/relationships/hyperlink" Target="http://old.tisbi.ru/science/vestnik/2001/issue1/snos1.htm" TargetMode="External"/><Relationship Id="rId60" Type="http://schemas.openxmlformats.org/officeDocument/2006/relationships/hyperlink" Target="http://old.tisbi.ru/science/vestnik/2001/issue1/snos1.html" TargetMode="External"/><Relationship Id="rId65" Type="http://schemas.openxmlformats.org/officeDocument/2006/relationships/hyperlink" Target="http://old.tisbi.ru/science/vestnik/2001/issue1/snos1.html" TargetMode="External"/><Relationship Id="rId81" Type="http://schemas.openxmlformats.org/officeDocument/2006/relationships/hyperlink" Target="http://old.tisbi.ru/science/vestnik/2001/issue1/snos1.html" TargetMode="External"/><Relationship Id="rId86" Type="http://schemas.openxmlformats.org/officeDocument/2006/relationships/hyperlink" Target="http://old.tisbi.ru/science/vestnik/2001/issue1/snos1.html" TargetMode="External"/><Relationship Id="rId130" Type="http://schemas.openxmlformats.org/officeDocument/2006/relationships/hyperlink" Target="http://old.tisbi.ru/science/vestnik/2001/issue1/snos1.html" TargetMode="External"/><Relationship Id="rId135" Type="http://schemas.openxmlformats.org/officeDocument/2006/relationships/hyperlink" Target="http://old.tisbi.ru/science/vestnik/2001/issue1/snos1.html" TargetMode="External"/><Relationship Id="rId151" Type="http://schemas.openxmlformats.org/officeDocument/2006/relationships/hyperlink" Target="http://old.tisbi.ru/science/vestnik/2001/issue1/snos1.html" TargetMode="External"/><Relationship Id="rId156" Type="http://schemas.openxmlformats.org/officeDocument/2006/relationships/hyperlink" Target="http://old.tisbi.ru/science/vestnik/2001/issue1/snos1.html" TargetMode="External"/><Relationship Id="rId177" Type="http://schemas.openxmlformats.org/officeDocument/2006/relationships/hyperlink" Target="http://old.tisbi.ru/science/vestnik/2001/issue1/snos1.html" TargetMode="External"/><Relationship Id="rId172" Type="http://schemas.openxmlformats.org/officeDocument/2006/relationships/hyperlink" Target="http://old.tisbi.ru/science/vestnik/2001/issue1/snos1.html" TargetMode="External"/><Relationship Id="rId193" Type="http://schemas.openxmlformats.org/officeDocument/2006/relationships/hyperlink" Target="http://old.tisbi.ru/science/vestnik/2001/issue1/snos1.html" TargetMode="External"/><Relationship Id="rId13" Type="http://schemas.openxmlformats.org/officeDocument/2006/relationships/hyperlink" Target="http://old.tisbi.ru/science/vestnik/2001/issue1/snos1.htm" TargetMode="External"/><Relationship Id="rId18" Type="http://schemas.openxmlformats.org/officeDocument/2006/relationships/hyperlink" Target="http://old.tisbi.ru/science/vestnik/2001/issue1/snos1.htm" TargetMode="External"/><Relationship Id="rId39" Type="http://schemas.openxmlformats.org/officeDocument/2006/relationships/hyperlink" Target="http://old.tisbi.ru/science/vestnik/2001/issue1/snos1.htm" TargetMode="External"/><Relationship Id="rId109" Type="http://schemas.openxmlformats.org/officeDocument/2006/relationships/hyperlink" Target="http://old.tisbi.ru/science/vestnik/2001/issue1/snos1.html" TargetMode="External"/><Relationship Id="rId34" Type="http://schemas.openxmlformats.org/officeDocument/2006/relationships/hyperlink" Target="http://old.tisbi.ru/science/vestnik/2001/issue1/snos1.htm" TargetMode="External"/><Relationship Id="rId50" Type="http://schemas.openxmlformats.org/officeDocument/2006/relationships/hyperlink" Target="http://old.tisbi.ru/science/vestnik/2001/issue1/snos1.html" TargetMode="External"/><Relationship Id="rId55" Type="http://schemas.openxmlformats.org/officeDocument/2006/relationships/hyperlink" Target="http://old.tisbi.ru/science/vestnik/2001/issue1/snos1.html" TargetMode="External"/><Relationship Id="rId76" Type="http://schemas.openxmlformats.org/officeDocument/2006/relationships/hyperlink" Target="http://old.tisbi.ru/science/vestnik/2001/issue1/snos1.html" TargetMode="External"/><Relationship Id="rId97" Type="http://schemas.openxmlformats.org/officeDocument/2006/relationships/hyperlink" Target="http://old.tisbi.ru/science/vestnik/2001/issue1/snos1.html" TargetMode="External"/><Relationship Id="rId104" Type="http://schemas.openxmlformats.org/officeDocument/2006/relationships/hyperlink" Target="http://old.tisbi.ru/science/vestnik/2001/issue1/snos1.html" TargetMode="External"/><Relationship Id="rId120" Type="http://schemas.openxmlformats.org/officeDocument/2006/relationships/hyperlink" Target="http://old.tisbi.ru/science/vestnik/2001/issue1/snos1.html" TargetMode="External"/><Relationship Id="rId125" Type="http://schemas.openxmlformats.org/officeDocument/2006/relationships/hyperlink" Target="http://old.tisbi.ru/science/vestnik/2001/issue1/snos1.html" TargetMode="External"/><Relationship Id="rId141" Type="http://schemas.openxmlformats.org/officeDocument/2006/relationships/hyperlink" Target="http://old.tisbi.ru/science/vestnik/2001/issue1/snos1.html" TargetMode="External"/><Relationship Id="rId146" Type="http://schemas.openxmlformats.org/officeDocument/2006/relationships/hyperlink" Target="http://old.tisbi.ru/science/vestnik/2001/issue1/snos1.html" TargetMode="External"/><Relationship Id="rId167" Type="http://schemas.openxmlformats.org/officeDocument/2006/relationships/hyperlink" Target="http://old.tisbi.ru/science/vestnik/2001/issue1/snos1.html" TargetMode="External"/><Relationship Id="rId188" Type="http://schemas.openxmlformats.org/officeDocument/2006/relationships/hyperlink" Target="http://old.tisbi.ru/science/vestnik/2001/issue1/snos1.html" TargetMode="External"/><Relationship Id="rId7" Type="http://schemas.openxmlformats.org/officeDocument/2006/relationships/hyperlink" Target="http://old.tisbi.ru/science/vestnik/2001/issue1/snos1.htm" TargetMode="External"/><Relationship Id="rId71" Type="http://schemas.openxmlformats.org/officeDocument/2006/relationships/hyperlink" Target="http://old.tisbi.ru/science/vestnik/2001/issue1/snos1.html" TargetMode="External"/><Relationship Id="rId92" Type="http://schemas.openxmlformats.org/officeDocument/2006/relationships/hyperlink" Target="http://old.tisbi.ru/science/vestnik/2001/issue1/snos1.html" TargetMode="External"/><Relationship Id="rId162" Type="http://schemas.openxmlformats.org/officeDocument/2006/relationships/hyperlink" Target="http://old.tisbi.ru/science/vestnik/2001/issue1/snos1.html" TargetMode="External"/><Relationship Id="rId183" Type="http://schemas.openxmlformats.org/officeDocument/2006/relationships/hyperlink" Target="http://old.tisbi.ru/science/vestnik/2001/issue1/snos1.html" TargetMode="External"/><Relationship Id="rId2" Type="http://schemas.openxmlformats.org/officeDocument/2006/relationships/styles" Target="styles.xml"/><Relationship Id="rId29" Type="http://schemas.openxmlformats.org/officeDocument/2006/relationships/hyperlink" Target="http://old.tisbi.ru/science/vestnik/2001/issue1/snos1.htm" TargetMode="External"/><Relationship Id="rId24" Type="http://schemas.openxmlformats.org/officeDocument/2006/relationships/hyperlink" Target="http://old.tisbi.ru/science/vestnik/2001/issue1/snos1.htm" TargetMode="External"/><Relationship Id="rId40" Type="http://schemas.openxmlformats.org/officeDocument/2006/relationships/hyperlink" Target="http://old.tisbi.ru/science/vestnik/2001/issue1/snos1.htm" TargetMode="External"/><Relationship Id="rId45" Type="http://schemas.openxmlformats.org/officeDocument/2006/relationships/hyperlink" Target="http://old.tisbi.ru/science/vestnik/2001/issue1/snos1.htm" TargetMode="External"/><Relationship Id="rId66" Type="http://schemas.openxmlformats.org/officeDocument/2006/relationships/hyperlink" Target="http://old.tisbi.ru/science/vestnik/2001/issue1/snos1.html" TargetMode="External"/><Relationship Id="rId87" Type="http://schemas.openxmlformats.org/officeDocument/2006/relationships/hyperlink" Target="http://old.tisbi.ru/science/vestnik/2001/issue1/snos1.html" TargetMode="External"/><Relationship Id="rId110" Type="http://schemas.openxmlformats.org/officeDocument/2006/relationships/hyperlink" Target="http://old.tisbi.ru/science/vestnik/2001/issue1/snos1.html" TargetMode="External"/><Relationship Id="rId115" Type="http://schemas.openxmlformats.org/officeDocument/2006/relationships/hyperlink" Target="http://old.tisbi.ru/science/vestnik/2001/issue1/snos1.html" TargetMode="External"/><Relationship Id="rId131" Type="http://schemas.openxmlformats.org/officeDocument/2006/relationships/hyperlink" Target="http://old.tisbi.ru/science/vestnik/2001/issue1/snos1.html" TargetMode="External"/><Relationship Id="rId136" Type="http://schemas.openxmlformats.org/officeDocument/2006/relationships/hyperlink" Target="http://old.tisbi.ru/science/vestnik/2001/issue1/snos1.html" TargetMode="External"/><Relationship Id="rId157" Type="http://schemas.openxmlformats.org/officeDocument/2006/relationships/hyperlink" Target="http://old.tisbi.ru/science/vestnik/2001/issue1/snos1.html" TargetMode="External"/><Relationship Id="rId178" Type="http://schemas.openxmlformats.org/officeDocument/2006/relationships/hyperlink" Target="http://old.tisbi.ru/science/vestnik/2001/issue1/snos1.html" TargetMode="External"/><Relationship Id="rId61" Type="http://schemas.openxmlformats.org/officeDocument/2006/relationships/hyperlink" Target="http://old.tisbi.ru/science/vestnik/2001/issue1/snos1.html" TargetMode="External"/><Relationship Id="rId82" Type="http://schemas.openxmlformats.org/officeDocument/2006/relationships/hyperlink" Target="http://old.tisbi.ru/science/vestnik/2001/issue1/snos1.html" TargetMode="External"/><Relationship Id="rId152" Type="http://schemas.openxmlformats.org/officeDocument/2006/relationships/hyperlink" Target="http://old.tisbi.ru/science/vestnik/2001/issue1/snos1.html" TargetMode="External"/><Relationship Id="rId173" Type="http://schemas.openxmlformats.org/officeDocument/2006/relationships/hyperlink" Target="http://old.tisbi.ru/science/vestnik/2001/issue1/snos1.html" TargetMode="External"/><Relationship Id="rId194" Type="http://schemas.openxmlformats.org/officeDocument/2006/relationships/hyperlink" Target="http://old.tisbi.ru/science/vestnik/2001/issue1/snos1.html" TargetMode="External"/><Relationship Id="rId19" Type="http://schemas.openxmlformats.org/officeDocument/2006/relationships/hyperlink" Target="http://old.tisbi.ru/science/vestnik/2001/issue1/snos1.htm" TargetMode="External"/><Relationship Id="rId14" Type="http://schemas.openxmlformats.org/officeDocument/2006/relationships/hyperlink" Target="http://old.tisbi.ru/science/vestnik/2001/issue1/snos1.htm" TargetMode="External"/><Relationship Id="rId30" Type="http://schemas.openxmlformats.org/officeDocument/2006/relationships/hyperlink" Target="http://old.tisbi.ru/science/vestnik/2001/issue1/snos1.htm" TargetMode="External"/><Relationship Id="rId35" Type="http://schemas.openxmlformats.org/officeDocument/2006/relationships/hyperlink" Target="http://old.tisbi.ru/science/vestnik/2001/issue1/snos1.htm" TargetMode="External"/><Relationship Id="rId56" Type="http://schemas.openxmlformats.org/officeDocument/2006/relationships/hyperlink" Target="http://old.tisbi.ru/science/vestnik/2001/issue1/snos1.html" TargetMode="External"/><Relationship Id="rId77" Type="http://schemas.openxmlformats.org/officeDocument/2006/relationships/hyperlink" Target="http://old.tisbi.ru/science/vestnik/2001/issue1/snos1.html" TargetMode="External"/><Relationship Id="rId100" Type="http://schemas.openxmlformats.org/officeDocument/2006/relationships/hyperlink" Target="http://old.tisbi.ru/science/vestnik/2001/issue1/snos1.html" TargetMode="External"/><Relationship Id="rId105" Type="http://schemas.openxmlformats.org/officeDocument/2006/relationships/hyperlink" Target="http://old.tisbi.ru/science/vestnik/2001/issue1/snos1.html" TargetMode="External"/><Relationship Id="rId126" Type="http://schemas.openxmlformats.org/officeDocument/2006/relationships/hyperlink" Target="http://old.tisbi.ru/science/vestnik/2001/issue1/snos1.html" TargetMode="External"/><Relationship Id="rId147" Type="http://schemas.openxmlformats.org/officeDocument/2006/relationships/hyperlink" Target="http://old.tisbi.ru/science/vestnik/2001/issue1/snos1.html" TargetMode="External"/><Relationship Id="rId168" Type="http://schemas.openxmlformats.org/officeDocument/2006/relationships/hyperlink" Target="http://old.tisbi.ru/science/vestnik/2001/issue1/snos1.html" TargetMode="External"/><Relationship Id="rId8" Type="http://schemas.openxmlformats.org/officeDocument/2006/relationships/hyperlink" Target="http://old.tisbi.ru/science/vestnik/2001/issue1/snos1.htm" TargetMode="External"/><Relationship Id="rId51" Type="http://schemas.openxmlformats.org/officeDocument/2006/relationships/hyperlink" Target="http://old.tisbi.ru/science/vestnik/2001/issue1/snos1.html" TargetMode="External"/><Relationship Id="rId72" Type="http://schemas.openxmlformats.org/officeDocument/2006/relationships/hyperlink" Target="http://old.tisbi.ru/science/vestnik/2001/issue1/snos1.html" TargetMode="External"/><Relationship Id="rId93" Type="http://schemas.openxmlformats.org/officeDocument/2006/relationships/hyperlink" Target="http://old.tisbi.ru/science/vestnik/2001/issue1/snos1.html" TargetMode="External"/><Relationship Id="rId98" Type="http://schemas.openxmlformats.org/officeDocument/2006/relationships/hyperlink" Target="http://old.tisbi.ru/science/vestnik/2001/issue1/snos1.html" TargetMode="External"/><Relationship Id="rId121" Type="http://schemas.openxmlformats.org/officeDocument/2006/relationships/hyperlink" Target="http://old.tisbi.ru/science/vestnik/2001/issue1/snos1.html" TargetMode="External"/><Relationship Id="rId142" Type="http://schemas.openxmlformats.org/officeDocument/2006/relationships/hyperlink" Target="http://old.tisbi.ru/science/vestnik/2001/issue1/snos1.html" TargetMode="External"/><Relationship Id="rId163" Type="http://schemas.openxmlformats.org/officeDocument/2006/relationships/hyperlink" Target="http://old.tisbi.ru/science/vestnik/2001/issue1/snos1.html" TargetMode="External"/><Relationship Id="rId184" Type="http://schemas.openxmlformats.org/officeDocument/2006/relationships/hyperlink" Target="http://old.tisbi.ru/science/vestnik/2001/issue1/snos1.html" TargetMode="External"/><Relationship Id="rId189" Type="http://schemas.openxmlformats.org/officeDocument/2006/relationships/hyperlink" Target="http://old.tisbi.ru/science/vestnik/2001/issue1/snos1.html" TargetMode="External"/><Relationship Id="rId3" Type="http://schemas.openxmlformats.org/officeDocument/2006/relationships/settings" Target="settings.xml"/><Relationship Id="rId25" Type="http://schemas.openxmlformats.org/officeDocument/2006/relationships/hyperlink" Target="http://old.tisbi.ru/science/vestnik/2001/issue1/snos1.htm" TargetMode="External"/><Relationship Id="rId46" Type="http://schemas.openxmlformats.org/officeDocument/2006/relationships/hyperlink" Target="http://old.tisbi.ru/science/vestnik/2001/issue1/snos1.htm" TargetMode="External"/><Relationship Id="rId67" Type="http://schemas.openxmlformats.org/officeDocument/2006/relationships/hyperlink" Target="http://old.tisbi.ru/science/vestnik/2001/issue1/snos1.html" TargetMode="External"/><Relationship Id="rId116" Type="http://schemas.openxmlformats.org/officeDocument/2006/relationships/hyperlink" Target="http://old.tisbi.ru/science/vestnik/2001/issue1/snos1.html" TargetMode="External"/><Relationship Id="rId137" Type="http://schemas.openxmlformats.org/officeDocument/2006/relationships/hyperlink" Target="http://old.tisbi.ru/science/vestnik/2001/issue1/snos1.html" TargetMode="External"/><Relationship Id="rId158" Type="http://schemas.openxmlformats.org/officeDocument/2006/relationships/hyperlink" Target="http://old.tisbi.ru/science/vestnik/2001/issue1/snos1.html" TargetMode="External"/><Relationship Id="rId20" Type="http://schemas.openxmlformats.org/officeDocument/2006/relationships/hyperlink" Target="http://old.tisbi.ru/science/vestnik/2001/issue1/snos1.htm" TargetMode="External"/><Relationship Id="rId41" Type="http://schemas.openxmlformats.org/officeDocument/2006/relationships/hyperlink" Target="http://old.tisbi.ru/science/vestnik/2001/issue1/snos1.htm" TargetMode="External"/><Relationship Id="rId62" Type="http://schemas.openxmlformats.org/officeDocument/2006/relationships/hyperlink" Target="http://old.tisbi.ru/science/vestnik/2001/issue1/snos1.html" TargetMode="External"/><Relationship Id="rId83" Type="http://schemas.openxmlformats.org/officeDocument/2006/relationships/hyperlink" Target="http://old.tisbi.ru/science/vestnik/2001/issue1/snos1.html" TargetMode="External"/><Relationship Id="rId88" Type="http://schemas.openxmlformats.org/officeDocument/2006/relationships/hyperlink" Target="http://old.tisbi.ru/science/vestnik/2001/issue1/snos1.html" TargetMode="External"/><Relationship Id="rId111" Type="http://schemas.openxmlformats.org/officeDocument/2006/relationships/hyperlink" Target="http://old.tisbi.ru/science/vestnik/2001/issue1/snos1.html" TargetMode="External"/><Relationship Id="rId132" Type="http://schemas.openxmlformats.org/officeDocument/2006/relationships/hyperlink" Target="http://old.tisbi.ru/science/vestnik/2001/issue1/snos1.html" TargetMode="External"/><Relationship Id="rId153" Type="http://schemas.openxmlformats.org/officeDocument/2006/relationships/hyperlink" Target="http://old.tisbi.ru/science/vestnik/2001/issue1/snos1.html" TargetMode="External"/><Relationship Id="rId174" Type="http://schemas.openxmlformats.org/officeDocument/2006/relationships/hyperlink" Target="http://old.tisbi.ru/science/vestnik/2001/issue1/snos1.html" TargetMode="External"/><Relationship Id="rId179" Type="http://schemas.openxmlformats.org/officeDocument/2006/relationships/hyperlink" Target="http://old.tisbi.ru/science/vestnik/2001/issue1/snos1.html" TargetMode="External"/><Relationship Id="rId195" Type="http://schemas.openxmlformats.org/officeDocument/2006/relationships/fontTable" Target="fontTable.xml"/><Relationship Id="rId190" Type="http://schemas.openxmlformats.org/officeDocument/2006/relationships/hyperlink" Target="http://old.tisbi.ru/science/vestnik/2001/issue1/snos1.html" TargetMode="External"/><Relationship Id="rId15" Type="http://schemas.openxmlformats.org/officeDocument/2006/relationships/hyperlink" Target="http://old.tisbi.ru/science/vestnik/2001/issue1/snos1.htm" TargetMode="External"/><Relationship Id="rId36" Type="http://schemas.openxmlformats.org/officeDocument/2006/relationships/hyperlink" Target="http://old.tisbi.ru/science/vestnik/2001/issue1/snos1.htm" TargetMode="External"/><Relationship Id="rId57" Type="http://schemas.openxmlformats.org/officeDocument/2006/relationships/hyperlink" Target="http://old.tisbi.ru/science/vestnik/2001/issue1/snos1.html" TargetMode="External"/><Relationship Id="rId106" Type="http://schemas.openxmlformats.org/officeDocument/2006/relationships/hyperlink" Target="http://old.tisbi.ru/science/vestnik/2001/issue1/snos1.html" TargetMode="External"/><Relationship Id="rId127" Type="http://schemas.openxmlformats.org/officeDocument/2006/relationships/hyperlink" Target="http://old.tisbi.ru/science/vestnik/2001/issue1/snos1.html" TargetMode="External"/><Relationship Id="rId10" Type="http://schemas.openxmlformats.org/officeDocument/2006/relationships/hyperlink" Target="http://old.tisbi.ru/science/vestnik/2001/issue1/snos1.htm" TargetMode="External"/><Relationship Id="rId31" Type="http://schemas.openxmlformats.org/officeDocument/2006/relationships/hyperlink" Target="http://old.tisbi.ru/science/vestnik/2001/issue1/snos1.htm" TargetMode="External"/><Relationship Id="rId52" Type="http://schemas.openxmlformats.org/officeDocument/2006/relationships/hyperlink" Target="http://old.tisbi.ru/science/vestnik/2001/issue1/snos1.html" TargetMode="External"/><Relationship Id="rId73" Type="http://schemas.openxmlformats.org/officeDocument/2006/relationships/hyperlink" Target="http://old.tisbi.ru/science/vestnik/2001/issue1/snos1.html" TargetMode="External"/><Relationship Id="rId78" Type="http://schemas.openxmlformats.org/officeDocument/2006/relationships/hyperlink" Target="http://old.tisbi.ru/science/vestnik/2001/issue1/snos1.html" TargetMode="External"/><Relationship Id="rId94" Type="http://schemas.openxmlformats.org/officeDocument/2006/relationships/hyperlink" Target="http://old.tisbi.ru/science/vestnik/2001/issue1/snos1.html" TargetMode="External"/><Relationship Id="rId99" Type="http://schemas.openxmlformats.org/officeDocument/2006/relationships/hyperlink" Target="http://old.tisbi.ru/science/vestnik/2001/issue1/snos1.html" TargetMode="External"/><Relationship Id="rId101" Type="http://schemas.openxmlformats.org/officeDocument/2006/relationships/hyperlink" Target="http://old.tisbi.ru/science/vestnik/2001/issue1/snos1.html" TargetMode="External"/><Relationship Id="rId122" Type="http://schemas.openxmlformats.org/officeDocument/2006/relationships/hyperlink" Target="http://old.tisbi.ru/science/vestnik/2001/issue1/snos1.html" TargetMode="External"/><Relationship Id="rId143" Type="http://schemas.openxmlformats.org/officeDocument/2006/relationships/hyperlink" Target="http://old.tisbi.ru/science/vestnik/2001/issue1/snos1.html" TargetMode="External"/><Relationship Id="rId148" Type="http://schemas.openxmlformats.org/officeDocument/2006/relationships/hyperlink" Target="http://old.tisbi.ru/science/vestnik/2001/issue1/snos1.html" TargetMode="External"/><Relationship Id="rId164" Type="http://schemas.openxmlformats.org/officeDocument/2006/relationships/hyperlink" Target="http://old.tisbi.ru/science/vestnik/2001/issue1/snos1.html" TargetMode="External"/><Relationship Id="rId169" Type="http://schemas.openxmlformats.org/officeDocument/2006/relationships/hyperlink" Target="http://old.tisbi.ru/science/vestnik/2001/issue1/snos1.html" TargetMode="External"/><Relationship Id="rId185" Type="http://schemas.openxmlformats.org/officeDocument/2006/relationships/hyperlink" Target="http://old.tisbi.ru/science/vestnik/2001/issue1/snos1.html" TargetMode="External"/><Relationship Id="rId4" Type="http://schemas.openxmlformats.org/officeDocument/2006/relationships/webSettings" Target="webSettings.xml"/><Relationship Id="rId9" Type="http://schemas.openxmlformats.org/officeDocument/2006/relationships/hyperlink" Target="http://old.tisbi.ru/science/vestnik/2001/issue1/snos1.htm" TargetMode="External"/><Relationship Id="rId180" Type="http://schemas.openxmlformats.org/officeDocument/2006/relationships/hyperlink" Target="http://old.tisbi.ru/science/vestnik/2001/issue1/snos1.html" TargetMode="External"/><Relationship Id="rId26" Type="http://schemas.openxmlformats.org/officeDocument/2006/relationships/hyperlink" Target="http://old.tisbi.ru/science/vestnik/2001/issue1/snos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159</Pages>
  <Words>66889</Words>
  <Characters>381271</Characters>
  <Application>Microsoft Office Word</Application>
  <DocSecurity>0</DocSecurity>
  <Lines>3177</Lines>
  <Paragraphs>894</Paragraphs>
  <ScaleCrop>false</ScaleCrop>
  <HeadingPairs>
    <vt:vector size="2" baseType="variant">
      <vt:variant>
        <vt:lpstr>Название</vt:lpstr>
      </vt:variant>
      <vt:variant>
        <vt:i4>1</vt:i4>
      </vt:variant>
    </vt:vector>
  </HeadingPairs>
  <TitlesOfParts>
    <vt:vector size="1" baseType="lpstr">
      <vt:lpstr/>
    </vt:vector>
  </TitlesOfParts>
  <Company>TISBI</Company>
  <LinksUpToDate>false</LinksUpToDate>
  <CharactersWithSpaces>447266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Ржевская Юлия Евгеньевна</dc:creator>
  <cp:keywords/>
  <dc:description/>
  <cp:lastModifiedBy>Ржевская Юлия Евгеньевна</cp:lastModifiedBy>
  <cp:revision>2</cp:revision>
  <dcterms:created xsi:type="dcterms:W3CDTF">2020-01-29T11:37:00Z</dcterms:created>
  <dcterms:modified xsi:type="dcterms:W3CDTF">2020-01-29T12:16:00Z</dcterms:modified>
</cp:coreProperties>
</file>